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355F" w:rsidRDefault="0024355F" w:rsidP="0024355F">
      <w:pPr>
        <w:pStyle w:val="a7"/>
        <w:tabs>
          <w:tab w:val="left" w:pos="991"/>
        </w:tabs>
        <w:rPr>
          <w:rFonts w:ascii="Times New Roman" w:hAnsi="Times New Roman" w:cs="Times New Roman"/>
          <w:i/>
          <w:sz w:val="24"/>
          <w:szCs w:val="24"/>
        </w:rPr>
      </w:pPr>
      <w:r>
        <w:rPr>
          <w:rFonts w:ascii="Times New Roman" w:hAnsi="Times New Roman" w:cs="Times New Roman"/>
          <w:i/>
          <w:sz w:val="24"/>
          <w:szCs w:val="24"/>
        </w:rPr>
        <w:tab/>
      </w:r>
    </w:p>
    <w:p w:rsidR="00AE3FE5" w:rsidRDefault="00AE3FE5" w:rsidP="00AE3FE5">
      <w:pPr>
        <w:spacing w:after="0" w:line="240" w:lineRule="auto"/>
        <w:jc w:val="center"/>
        <w:rPr>
          <w:rFonts w:ascii="Times New Roman" w:eastAsia="Times New Roman" w:hAnsi="Times New Roman" w:cs="Times New Roman"/>
          <w:sz w:val="24"/>
          <w:szCs w:val="24"/>
          <w:lang w:val="en-GB" w:eastAsia="fr-FR"/>
        </w:rPr>
      </w:pPr>
      <w:r>
        <w:rPr>
          <w:rFonts w:ascii="Times New Roman" w:eastAsia="Times New Roman" w:hAnsi="Times New Roman"/>
          <w:noProof/>
          <w:sz w:val="24"/>
          <w:szCs w:val="24"/>
          <w:lang w:eastAsia="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4" o:spid="_x0000_i1025" type="#_x0000_t75" style="width:70.5pt;height:51pt;visibility:visible;mso-wrap-style:square">
            <v:imagedata r:id="rId4" o:title=""/>
          </v:shape>
        </w:pict>
      </w:r>
      <w:r>
        <w:rPr>
          <w:rFonts w:ascii="Times New Roman" w:eastAsia="Times New Roman" w:hAnsi="Times New Roman"/>
          <w:noProof/>
          <w:sz w:val="24"/>
          <w:szCs w:val="24"/>
          <w:lang w:val="en-GB" w:eastAsia="fr-FR"/>
        </w:rPr>
        <w:t xml:space="preserve">             </w:t>
      </w:r>
      <w:r>
        <w:rPr>
          <w:rFonts w:ascii="Times New Roman" w:eastAsia="Times New Roman" w:hAnsi="Times New Roman"/>
          <w:noProof/>
          <w:sz w:val="24"/>
          <w:szCs w:val="24"/>
          <w:lang w:eastAsia="bg-BG"/>
        </w:rPr>
        <w:pict>
          <v:shape id="Картина 3" o:spid="_x0000_i1026" type="#_x0000_t75" alt="лого–мзх" style="width:75.75pt;height:42.75pt;visibility:visible;mso-wrap-style:square">
            <v:imagedata r:id="rId5" o:title="лого–мзх"/>
          </v:shape>
        </w:pict>
      </w:r>
      <w:r>
        <w:rPr>
          <w:rFonts w:ascii="Times New Roman" w:eastAsia="Times New Roman" w:hAnsi="Times New Roman"/>
          <w:i/>
          <w:noProof/>
          <w:sz w:val="24"/>
          <w:szCs w:val="24"/>
          <w:lang w:val="en-GB" w:eastAsia="fr-FR"/>
        </w:rPr>
        <w:t xml:space="preserve">              </w:t>
      </w:r>
      <w:r>
        <w:rPr>
          <w:rFonts w:ascii="Times New Roman" w:eastAsia="Times New Roman" w:hAnsi="Times New Roman"/>
          <w:i/>
          <w:noProof/>
          <w:sz w:val="24"/>
          <w:szCs w:val="24"/>
          <w:lang w:eastAsia="bg-BG"/>
        </w:rPr>
        <w:pict>
          <v:shape id="Картина 2" o:spid="_x0000_i1027" type="#_x0000_t75" style="width:60pt;height:50.25pt;visibility:visible;mso-wrap-style:square">
            <v:imagedata r:id="rId6" o:title=""/>
          </v:shape>
        </w:pict>
      </w:r>
      <w:r>
        <w:rPr>
          <w:rFonts w:ascii="Times New Roman" w:eastAsia="Times New Roman" w:hAnsi="Times New Roman"/>
          <w:i/>
          <w:noProof/>
          <w:sz w:val="24"/>
          <w:szCs w:val="24"/>
          <w:lang w:val="en-GB" w:eastAsia="fr-FR"/>
        </w:rPr>
        <w:t xml:space="preserve">              </w:t>
      </w:r>
      <w:r>
        <w:rPr>
          <w:rFonts w:ascii="Times New Roman" w:eastAsia="Times New Roman" w:hAnsi="Times New Roman"/>
          <w:i/>
          <w:noProof/>
          <w:sz w:val="24"/>
          <w:szCs w:val="24"/>
          <w:lang w:eastAsia="bg-BG"/>
        </w:rPr>
        <w:pict>
          <v:shape id="Картина 1" o:spid="_x0000_i1028" type="#_x0000_t75" alt="logo PRSR2014-2020" style="width:125.25pt;height:53.25pt;visibility:visible;mso-wrap-style:square">
            <v:imagedata r:id="rId7" o:title="logo PRSR2014-2020"/>
          </v:shape>
        </w:pict>
      </w:r>
    </w:p>
    <w:p w:rsidR="00AE3FE5" w:rsidRDefault="00AE3FE5" w:rsidP="00AE3FE5">
      <w:pPr>
        <w:spacing w:after="0" w:line="240" w:lineRule="auto"/>
        <w:jc w:val="center"/>
        <w:rPr>
          <w:rFonts w:ascii="Times New Roman" w:eastAsia="Times New Roman" w:hAnsi="Times New Roman"/>
          <w:sz w:val="20"/>
          <w:szCs w:val="20"/>
          <w:lang w:val="ru-RU" w:eastAsia="fr-FR"/>
        </w:rPr>
      </w:pPr>
      <w:r>
        <w:rPr>
          <w:rFonts w:ascii="Times New Roman" w:eastAsia="Times New Roman" w:hAnsi="Times New Roman"/>
          <w:sz w:val="20"/>
          <w:szCs w:val="20"/>
          <w:lang w:val="ru-RU" w:eastAsia="fr-FR"/>
        </w:rPr>
        <w:t xml:space="preserve">Европейски </w:t>
      </w:r>
      <w:proofErr w:type="spellStart"/>
      <w:r>
        <w:rPr>
          <w:rFonts w:ascii="Times New Roman" w:eastAsia="Times New Roman" w:hAnsi="Times New Roman"/>
          <w:sz w:val="20"/>
          <w:szCs w:val="20"/>
          <w:lang w:val="ru-RU" w:eastAsia="fr-FR"/>
        </w:rPr>
        <w:t>земеделски</w:t>
      </w:r>
      <w:proofErr w:type="spellEnd"/>
      <w:r>
        <w:rPr>
          <w:rFonts w:ascii="Times New Roman" w:eastAsia="Times New Roman" w:hAnsi="Times New Roman"/>
          <w:sz w:val="20"/>
          <w:szCs w:val="20"/>
          <w:lang w:val="ru-RU" w:eastAsia="fr-FR"/>
        </w:rPr>
        <w:t xml:space="preserve"> фонд за развитие на </w:t>
      </w:r>
      <w:proofErr w:type="spellStart"/>
      <w:r>
        <w:rPr>
          <w:rFonts w:ascii="Times New Roman" w:eastAsia="Times New Roman" w:hAnsi="Times New Roman"/>
          <w:sz w:val="20"/>
          <w:szCs w:val="20"/>
          <w:lang w:val="ru-RU" w:eastAsia="fr-FR"/>
        </w:rPr>
        <w:t>селските</w:t>
      </w:r>
      <w:proofErr w:type="spellEnd"/>
      <w:r>
        <w:rPr>
          <w:rFonts w:ascii="Times New Roman" w:eastAsia="Times New Roman" w:hAnsi="Times New Roman"/>
          <w:sz w:val="20"/>
          <w:szCs w:val="20"/>
          <w:lang w:val="ru-RU" w:eastAsia="fr-FR"/>
        </w:rPr>
        <w:t xml:space="preserve"> </w:t>
      </w:r>
      <w:proofErr w:type="spellStart"/>
      <w:r>
        <w:rPr>
          <w:rFonts w:ascii="Times New Roman" w:eastAsia="Times New Roman" w:hAnsi="Times New Roman"/>
          <w:sz w:val="20"/>
          <w:szCs w:val="20"/>
          <w:lang w:val="ru-RU" w:eastAsia="fr-FR"/>
        </w:rPr>
        <w:t>райони</w:t>
      </w:r>
      <w:proofErr w:type="spellEnd"/>
      <w:r>
        <w:rPr>
          <w:rFonts w:ascii="Times New Roman" w:eastAsia="Times New Roman" w:hAnsi="Times New Roman"/>
          <w:sz w:val="20"/>
          <w:szCs w:val="20"/>
          <w:lang w:val="ru-RU" w:eastAsia="fr-FR"/>
        </w:rPr>
        <w:t xml:space="preserve"> – Европа </w:t>
      </w:r>
      <w:proofErr w:type="spellStart"/>
      <w:r>
        <w:rPr>
          <w:rFonts w:ascii="Times New Roman" w:eastAsia="Times New Roman" w:hAnsi="Times New Roman"/>
          <w:sz w:val="20"/>
          <w:szCs w:val="20"/>
          <w:lang w:val="ru-RU" w:eastAsia="fr-FR"/>
        </w:rPr>
        <w:t>инвестира</w:t>
      </w:r>
      <w:proofErr w:type="spellEnd"/>
      <w:r>
        <w:rPr>
          <w:rFonts w:ascii="Times New Roman" w:eastAsia="Times New Roman" w:hAnsi="Times New Roman"/>
          <w:sz w:val="20"/>
          <w:szCs w:val="20"/>
          <w:lang w:val="ru-RU" w:eastAsia="fr-FR"/>
        </w:rPr>
        <w:t xml:space="preserve"> в </w:t>
      </w:r>
      <w:proofErr w:type="spellStart"/>
      <w:r>
        <w:rPr>
          <w:rFonts w:ascii="Times New Roman" w:eastAsia="Times New Roman" w:hAnsi="Times New Roman"/>
          <w:sz w:val="20"/>
          <w:szCs w:val="20"/>
          <w:lang w:val="ru-RU" w:eastAsia="fr-FR"/>
        </w:rPr>
        <w:t>селските</w:t>
      </w:r>
      <w:proofErr w:type="spellEnd"/>
      <w:r>
        <w:rPr>
          <w:rFonts w:ascii="Times New Roman" w:eastAsia="Times New Roman" w:hAnsi="Times New Roman"/>
          <w:sz w:val="20"/>
          <w:szCs w:val="20"/>
          <w:lang w:val="ru-RU" w:eastAsia="fr-FR"/>
        </w:rPr>
        <w:t xml:space="preserve"> </w:t>
      </w:r>
      <w:proofErr w:type="spellStart"/>
      <w:r>
        <w:rPr>
          <w:rFonts w:ascii="Times New Roman" w:eastAsia="Times New Roman" w:hAnsi="Times New Roman"/>
          <w:sz w:val="20"/>
          <w:szCs w:val="20"/>
          <w:lang w:val="ru-RU" w:eastAsia="fr-FR"/>
        </w:rPr>
        <w:t>райони</w:t>
      </w:r>
      <w:proofErr w:type="spellEnd"/>
    </w:p>
    <w:p w:rsidR="00AE3FE5" w:rsidRDefault="00AE3FE5" w:rsidP="00AE3FE5">
      <w:pPr>
        <w:spacing w:after="0" w:line="240" w:lineRule="auto"/>
        <w:jc w:val="center"/>
        <w:rPr>
          <w:rFonts w:ascii="Times New Roman" w:eastAsia="Times New Roman" w:hAnsi="Times New Roman"/>
          <w:sz w:val="20"/>
          <w:szCs w:val="20"/>
          <w:lang w:val="ru-RU" w:eastAsia="fr-FR"/>
        </w:rPr>
      </w:pPr>
      <w:r>
        <w:rPr>
          <w:rFonts w:ascii="Times New Roman" w:eastAsia="Times New Roman" w:hAnsi="Times New Roman"/>
          <w:sz w:val="20"/>
          <w:szCs w:val="20"/>
          <w:lang w:val="ru-RU" w:eastAsia="fr-FR"/>
        </w:rPr>
        <w:t>ПРОГРАМА ЗА РАЗВИТИЕ НА СЕЛСКИТЕ РАЙОНИ   2014 – 2020 г.</w:t>
      </w:r>
    </w:p>
    <w:p w:rsidR="00B537FE" w:rsidRDefault="00B537FE" w:rsidP="00AE3FE5">
      <w:pPr>
        <w:pStyle w:val="a7"/>
        <w:rPr>
          <w:rFonts w:ascii="Times New Roman" w:hAnsi="Times New Roman" w:cs="Times New Roman"/>
          <w:i/>
          <w:sz w:val="24"/>
          <w:szCs w:val="24"/>
        </w:rPr>
      </w:pPr>
    </w:p>
    <w:p w:rsidR="000E2C81" w:rsidRPr="00AE3FE5" w:rsidRDefault="00AB5C99" w:rsidP="00AE3FE5">
      <w:pPr>
        <w:pStyle w:val="a7"/>
        <w:jc w:val="right"/>
        <w:rPr>
          <w:rFonts w:ascii="Times New Roman" w:hAnsi="Times New Roman" w:cs="Times New Roman"/>
          <w:i/>
          <w:sz w:val="24"/>
          <w:szCs w:val="24"/>
        </w:rPr>
      </w:pPr>
      <w:r w:rsidRPr="000E2C81">
        <w:rPr>
          <w:rFonts w:ascii="Times New Roman" w:hAnsi="Times New Roman" w:cs="Times New Roman"/>
          <w:i/>
          <w:sz w:val="24"/>
          <w:szCs w:val="24"/>
        </w:rPr>
        <w:t xml:space="preserve">Приложение № </w:t>
      </w:r>
      <w:r w:rsidR="000E2C81" w:rsidRPr="000E2C81">
        <w:rPr>
          <w:rFonts w:ascii="Times New Roman" w:hAnsi="Times New Roman" w:cs="Times New Roman"/>
          <w:i/>
          <w:sz w:val="24"/>
          <w:szCs w:val="24"/>
        </w:rPr>
        <w:t>30</w:t>
      </w:r>
    </w:p>
    <w:p w:rsidR="00AB5C99" w:rsidRPr="000D64B6" w:rsidRDefault="00AB5C99" w:rsidP="00C006BC">
      <w:pPr>
        <w:widowControl w:val="0"/>
        <w:autoSpaceDE w:val="0"/>
        <w:autoSpaceDN w:val="0"/>
        <w:adjustRightInd w:val="0"/>
        <w:jc w:val="center"/>
        <w:outlineLvl w:val="0"/>
        <w:rPr>
          <w:rFonts w:ascii="Times New Roman" w:hAnsi="Times New Roman" w:cs="Times New Roman"/>
          <w:b/>
          <w:bCs/>
          <w:sz w:val="24"/>
          <w:szCs w:val="24"/>
        </w:rPr>
      </w:pPr>
      <w:r w:rsidRPr="000D64B6">
        <w:rPr>
          <w:rFonts w:ascii="Times New Roman" w:hAnsi="Times New Roman" w:cs="Times New Roman"/>
          <w:b/>
          <w:bCs/>
          <w:sz w:val="24"/>
          <w:szCs w:val="24"/>
        </w:rPr>
        <w:t>Използвани съкращения и основни дефиниции</w:t>
      </w:r>
    </w:p>
    <w:p w:rsidR="00AB5C99" w:rsidRDefault="00AB5C99" w:rsidP="008B44BB">
      <w:pPr>
        <w:widowControl w:val="0"/>
        <w:autoSpaceDE w:val="0"/>
        <w:autoSpaceDN w:val="0"/>
        <w:adjustRightInd w:val="0"/>
        <w:jc w:val="both"/>
        <w:rPr>
          <w:rFonts w:ascii="Times New Roman" w:hAnsi="Times New Roman" w:cs="Times New Roman"/>
          <w:b/>
          <w:bCs/>
          <w:sz w:val="24"/>
          <w:szCs w:val="24"/>
        </w:rPr>
      </w:pPr>
    </w:p>
    <w:p w:rsidR="00AB5C99" w:rsidRPr="000D64B6" w:rsidRDefault="00AB5C99" w:rsidP="00C006BC">
      <w:pPr>
        <w:widowControl w:val="0"/>
        <w:autoSpaceDE w:val="0"/>
        <w:autoSpaceDN w:val="0"/>
        <w:adjustRightInd w:val="0"/>
        <w:jc w:val="both"/>
        <w:outlineLvl w:val="0"/>
        <w:rPr>
          <w:rFonts w:ascii="Times New Roman" w:hAnsi="Times New Roman" w:cs="Times New Roman"/>
          <w:b/>
          <w:bCs/>
          <w:sz w:val="24"/>
          <w:szCs w:val="24"/>
        </w:rPr>
      </w:pPr>
      <w:r w:rsidRPr="000D64B6">
        <w:rPr>
          <w:rFonts w:ascii="Times New Roman" w:hAnsi="Times New Roman" w:cs="Times New Roman"/>
          <w:b/>
          <w:bCs/>
          <w:sz w:val="24"/>
          <w:szCs w:val="24"/>
        </w:rPr>
        <w:t xml:space="preserve">По смисъла на </w:t>
      </w:r>
      <w:r>
        <w:rPr>
          <w:rFonts w:ascii="Times New Roman" w:hAnsi="Times New Roman" w:cs="Times New Roman"/>
          <w:b/>
          <w:bCs/>
          <w:sz w:val="24"/>
          <w:szCs w:val="24"/>
        </w:rPr>
        <w:t>условията за кандидатстване и условията за изпълнение</w:t>
      </w:r>
      <w:r w:rsidRPr="000D64B6">
        <w:rPr>
          <w:rFonts w:ascii="Times New Roman" w:hAnsi="Times New Roman" w:cs="Times New Roman"/>
          <w:b/>
          <w:bCs/>
          <w:sz w:val="24"/>
          <w:szCs w:val="24"/>
        </w:rPr>
        <w:t>:</w:t>
      </w:r>
    </w:p>
    <w:p w:rsidR="00AB5C99" w:rsidRDefault="00AB5C99" w:rsidP="008B44BB">
      <w:pPr>
        <w:widowControl w:val="0"/>
        <w:autoSpaceDE w:val="0"/>
        <w:autoSpaceDN w:val="0"/>
        <w:adjustRightInd w:val="0"/>
        <w:jc w:val="both"/>
        <w:rPr>
          <w:rFonts w:ascii="Times New Roman" w:hAnsi="Times New Roman" w:cs="Times New Roman"/>
          <w:sz w:val="24"/>
          <w:szCs w:val="24"/>
        </w:rPr>
      </w:pPr>
      <w:r w:rsidRPr="00671934">
        <w:rPr>
          <w:rFonts w:ascii="Times New Roman" w:hAnsi="Times New Roman" w:cs="Times New Roman"/>
          <w:sz w:val="24"/>
          <w:szCs w:val="24"/>
        </w:rPr>
        <w:t>1. „Административен договор“ е договор по смисъла на §1, т. 1 от допълн</w:t>
      </w:r>
      <w:r>
        <w:rPr>
          <w:rFonts w:ascii="Times New Roman" w:hAnsi="Times New Roman" w:cs="Times New Roman"/>
          <w:sz w:val="24"/>
          <w:szCs w:val="24"/>
        </w:rPr>
        <w:t>ителните разпоредби на ЗУСЕСИФ.</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 "Авансово плащане" е плащане по смисъла на чл. 63 от Регламент (ЕС) № 1305/2013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Регламент (ЕО) № 1698/2005 на Съвета (ОВ, L 347/487 от 20 декември 2013 г.).</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 "Биоенергия" е енергия, включително под формата на течни или газообразни горива, която е получена от преработката на биомаса.</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 "Биомаса" е всяка органична материя с растителен произход, която може да бъде рециклирана, включително специализирани култури и горски продукти, селскостопанска храна и фураж, отпадъци и остатъци от селскостопански реколти, отпадъци и остатъци от дървесина, водни растения, животински и торов отпадък, органични, битови отпадъци и други отпадъчни материали.</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 "</w:t>
      </w:r>
      <w:proofErr w:type="spellStart"/>
      <w:r>
        <w:rPr>
          <w:rFonts w:ascii="Times New Roman" w:hAnsi="Times New Roman" w:cs="Times New Roman"/>
          <w:sz w:val="24"/>
          <w:szCs w:val="24"/>
        </w:rPr>
        <w:t>Биогориво</w:t>
      </w:r>
      <w:proofErr w:type="spellEnd"/>
      <w:r>
        <w:rPr>
          <w:rFonts w:ascii="Times New Roman" w:hAnsi="Times New Roman" w:cs="Times New Roman"/>
          <w:sz w:val="24"/>
          <w:szCs w:val="24"/>
        </w:rPr>
        <w:t>" са течни, газообразни или твърди горива, произведени от биомаса (</w:t>
      </w:r>
      <w:proofErr w:type="spellStart"/>
      <w:r>
        <w:rPr>
          <w:rFonts w:ascii="Times New Roman" w:hAnsi="Times New Roman" w:cs="Times New Roman"/>
          <w:sz w:val="24"/>
          <w:szCs w:val="24"/>
        </w:rPr>
        <w:t>пелети</w:t>
      </w:r>
      <w:proofErr w:type="spellEnd"/>
      <w:r>
        <w:rPr>
          <w:rFonts w:ascii="Times New Roman" w:hAnsi="Times New Roman" w:cs="Times New Roman"/>
          <w:sz w:val="24"/>
          <w:szCs w:val="24"/>
        </w:rPr>
        <w:t xml:space="preserve">, брикети, нарязана и пресована слама и други остатъчни продукти от преработка на земеделски суровини, </w:t>
      </w:r>
      <w:proofErr w:type="spellStart"/>
      <w:r>
        <w:rPr>
          <w:rFonts w:ascii="Times New Roman" w:hAnsi="Times New Roman" w:cs="Times New Roman"/>
          <w:sz w:val="24"/>
          <w:szCs w:val="24"/>
        </w:rPr>
        <w:t>биодизел</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биоетанол</w:t>
      </w:r>
      <w:proofErr w:type="spellEnd"/>
      <w:r>
        <w:rPr>
          <w:rFonts w:ascii="Times New Roman" w:hAnsi="Times New Roman" w:cs="Times New Roman"/>
          <w:sz w:val="24"/>
          <w:szCs w:val="24"/>
        </w:rPr>
        <w:t xml:space="preserve">, етери, произведени от </w:t>
      </w:r>
      <w:proofErr w:type="spellStart"/>
      <w:r>
        <w:rPr>
          <w:rFonts w:ascii="Times New Roman" w:hAnsi="Times New Roman" w:cs="Times New Roman"/>
          <w:sz w:val="24"/>
          <w:szCs w:val="24"/>
        </w:rPr>
        <w:t>биоетанол</w:t>
      </w:r>
      <w:proofErr w:type="spellEnd"/>
      <w:r>
        <w:rPr>
          <w:rFonts w:ascii="Times New Roman" w:hAnsi="Times New Roman" w:cs="Times New Roman"/>
          <w:sz w:val="24"/>
          <w:szCs w:val="24"/>
        </w:rPr>
        <w:t xml:space="preserve">), включително </w:t>
      </w:r>
      <w:proofErr w:type="spellStart"/>
      <w:r>
        <w:rPr>
          <w:rFonts w:ascii="Times New Roman" w:hAnsi="Times New Roman" w:cs="Times New Roman"/>
          <w:sz w:val="24"/>
          <w:szCs w:val="24"/>
        </w:rPr>
        <w:t>биогориво</w:t>
      </w:r>
      <w:proofErr w:type="spellEnd"/>
      <w:r>
        <w:rPr>
          <w:rFonts w:ascii="Times New Roman" w:hAnsi="Times New Roman" w:cs="Times New Roman"/>
          <w:sz w:val="24"/>
          <w:szCs w:val="24"/>
        </w:rPr>
        <w:t xml:space="preserve">, произведено от зърнени култури и други култури, богати на скорбяла, захар и маслодайни култури, съгласно определението в чл. 1, параграф 1 от Директива (ЕС) 2015/1513 на </w:t>
      </w:r>
      <w:proofErr w:type="spellStart"/>
      <w:r>
        <w:rPr>
          <w:rFonts w:ascii="Times New Roman" w:hAnsi="Times New Roman" w:cs="Times New Roman"/>
          <w:sz w:val="24"/>
          <w:szCs w:val="24"/>
        </w:rPr>
        <w:t>Eвропейския</w:t>
      </w:r>
      <w:proofErr w:type="spellEnd"/>
      <w:r>
        <w:rPr>
          <w:rFonts w:ascii="Times New Roman" w:hAnsi="Times New Roman" w:cs="Times New Roman"/>
          <w:sz w:val="24"/>
          <w:szCs w:val="24"/>
        </w:rPr>
        <w:t xml:space="preserve"> парламент и на Съвета от 9 септември 2015 г. за изменение на Директива 98/70/ЕО относно качеството на бензиновите и дизеловите горива и за изменение на Директива 2009/28/ЕО за насърчаване използването на енергия от възобновяеми източници (ОВ, L 239/1 от 15.9.2015 г.).</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6. "Възобновяеми енергийни източници" са неизкопаеми енергийни източници, които съдържат слънчева, вятърна, водна и геотермална енергия, включително енергия на вълните и енергия на приливите и отливите, възобновяващи се без видимо изтощаване при използването им, както и отпадни топлини, енергия от биомаса и енергията от индустриални и битови отпадъци.</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7. "Големи предприятия" са предприятия, които не изпълняват критериите на чл. 3 от Закона за малките и средните предприятия, и предприятия, при които 25 на сто или повече от капитала или от броя на гласовете в общото събрание се контролират пряко или непряко, заедно или поотделно от един или повече публични органи с изключение на случаите по чл. 4, ал. 4 от Закона за малките и средните предприятия.</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8. "Дейност" е проект, договор, споразумение или друг механизъм, избран съгласно заложените в ПРСР 2014 – 2020 г. критерии, който се отнася до и се осъществява от един или повече </w:t>
      </w:r>
      <w:r w:rsidRPr="004B42D4">
        <w:rPr>
          <w:rFonts w:ascii="Times New Roman" w:hAnsi="Times New Roman" w:cs="Times New Roman"/>
          <w:sz w:val="24"/>
          <w:szCs w:val="24"/>
        </w:rPr>
        <w:lastRenderedPageBreak/>
        <w:t>бенефициенти</w:t>
      </w:r>
      <w:r>
        <w:rPr>
          <w:rFonts w:ascii="Times New Roman" w:hAnsi="Times New Roman" w:cs="Times New Roman"/>
          <w:sz w:val="24"/>
          <w:szCs w:val="24"/>
        </w:rPr>
        <w:t xml:space="preserve"> на помощ, предвид постигането на поставените цели в ПРСР 2014 – 2020 г.</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9. "Добра производствена практика" е система за осигуряване на качество и безопасност, която гарантира, че храните се произвеждат и контролират в съответствие с утвърдените стандарти, нормативи и други изисквания за качество и безопасност съобразно предназначението им и в съответствие с изискванията за издаване на разрешително за тяхното производство, търговия и употреба.</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10. "Доминиращо влияние" върху юридическо лице е влиянието на друго лице, което:</w:t>
      </w:r>
    </w:p>
    <w:p w:rsidR="00AB5C99" w:rsidRDefault="00AB5C99" w:rsidP="008B44BB">
      <w:pPr>
        <w:widowControl w:val="0"/>
        <w:autoSpaceDE w:val="0"/>
        <w:autoSpaceDN w:val="0"/>
        <w:adjustRightInd w:val="0"/>
        <w:ind w:firstLine="480"/>
        <w:jc w:val="both"/>
        <w:rPr>
          <w:rFonts w:ascii="Times New Roman" w:hAnsi="Times New Roman" w:cs="Times New Roman"/>
          <w:sz w:val="24"/>
          <w:szCs w:val="24"/>
        </w:rPr>
      </w:pPr>
      <w:r>
        <w:rPr>
          <w:rFonts w:ascii="Times New Roman" w:hAnsi="Times New Roman" w:cs="Times New Roman"/>
          <w:sz w:val="24"/>
          <w:szCs w:val="24"/>
        </w:rPr>
        <w:t xml:space="preserve"> а) притежава мажоритарния дял от капитала на юридическото лице, или</w:t>
      </w:r>
    </w:p>
    <w:p w:rsidR="00AB5C99" w:rsidRDefault="00AB5C99" w:rsidP="008B44BB">
      <w:pPr>
        <w:widowControl w:val="0"/>
        <w:autoSpaceDE w:val="0"/>
        <w:autoSpaceDN w:val="0"/>
        <w:adjustRightInd w:val="0"/>
        <w:ind w:firstLine="480"/>
        <w:jc w:val="both"/>
        <w:rPr>
          <w:rFonts w:ascii="Times New Roman" w:hAnsi="Times New Roman" w:cs="Times New Roman"/>
          <w:sz w:val="24"/>
          <w:szCs w:val="24"/>
        </w:rPr>
      </w:pPr>
      <w:r>
        <w:rPr>
          <w:rFonts w:ascii="Times New Roman" w:hAnsi="Times New Roman" w:cs="Times New Roman"/>
          <w:sz w:val="24"/>
          <w:szCs w:val="24"/>
        </w:rPr>
        <w:t xml:space="preserve"> б) притежава блокираща квота в капитала на юридическото лице, или</w:t>
      </w:r>
    </w:p>
    <w:p w:rsidR="00AB5C99" w:rsidRDefault="00AB5C99" w:rsidP="008B44BB">
      <w:pPr>
        <w:widowControl w:val="0"/>
        <w:autoSpaceDE w:val="0"/>
        <w:autoSpaceDN w:val="0"/>
        <w:adjustRightInd w:val="0"/>
        <w:ind w:firstLine="480"/>
        <w:jc w:val="both"/>
        <w:rPr>
          <w:rFonts w:ascii="Times New Roman" w:hAnsi="Times New Roman" w:cs="Times New Roman"/>
          <w:sz w:val="24"/>
          <w:szCs w:val="24"/>
        </w:rPr>
      </w:pPr>
      <w:r>
        <w:rPr>
          <w:rFonts w:ascii="Times New Roman" w:hAnsi="Times New Roman" w:cs="Times New Roman"/>
          <w:sz w:val="24"/>
          <w:szCs w:val="24"/>
        </w:rPr>
        <w:t xml:space="preserve"> в) може да назначава повече от половината от членовете на управителните или контролните органи на юридическото лице.</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11. "Енергийна ефективност в рамките на предприятието" е съотношението между изходното количество произведена стока или продукция и вложеното количество енергия, като инвестициите по проекта трябва да допринасят за енергийно спестяване в рамките на цялото предприятие спрямо годишното потребление на енергия за годината, предхождаща годината на подаване на </w:t>
      </w:r>
      <w:r w:rsidRPr="004B42D4">
        <w:rPr>
          <w:rFonts w:ascii="Times New Roman" w:hAnsi="Times New Roman" w:cs="Times New Roman"/>
          <w:sz w:val="24"/>
          <w:szCs w:val="24"/>
        </w:rPr>
        <w:t>проектното предложение</w:t>
      </w:r>
      <w:r>
        <w:rPr>
          <w:rFonts w:ascii="Times New Roman" w:hAnsi="Times New Roman" w:cs="Times New Roman"/>
          <w:sz w:val="24"/>
          <w:szCs w:val="24"/>
        </w:rPr>
        <w:t>. За нови предприятия трябва да е налице надхвърляне на задължителните минимални изисквания за енергийна ефективност по Закона за енергийна ефективност и Закона за устройство на територията и е налице повишаване на енергийната ефективност с минимум 10 на сто за предприятието.</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12. "Изкуствено създадени условия" е всяко установено условие по смисъла на чл. 60 от Регламент (ЕС) № 1306/2013.</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13. "Икономическа жизнеспособност" е генерирането на доходи от дейността, гарантиращи устойчивост на предприятието за периода на бизнес плана.</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14. "Икономически размер на стопанство" е размерът на земеделското стопанство, изразен в стандартен производствен обем.</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15. "Иновации" са: иновативен продукт, произвеждан от стопанството/предприятието, въвеждане на нов производствен процес (машини, съоръжения и оборудване) или нова практика, въвеждане на нова организационна форма, включително маркетинг, подкрепени с удостоверение за ползван патент и/или удостоверение за полезен модел, внедрена в рамките на </w:t>
      </w:r>
      <w:r w:rsidRPr="00671934">
        <w:rPr>
          <w:rFonts w:ascii="Times New Roman" w:hAnsi="Times New Roman" w:cs="Times New Roman"/>
          <w:sz w:val="24"/>
          <w:szCs w:val="24"/>
        </w:rPr>
        <w:t>четири години</w:t>
      </w:r>
      <w:r w:rsidRPr="00671934" w:rsidDel="00671934">
        <w:rPr>
          <w:rFonts w:ascii="Times New Roman" w:hAnsi="Times New Roman" w:cs="Times New Roman"/>
          <w:sz w:val="24"/>
          <w:szCs w:val="24"/>
        </w:rPr>
        <w:t xml:space="preserve"> </w:t>
      </w:r>
      <w:r>
        <w:rPr>
          <w:rFonts w:ascii="Times New Roman" w:hAnsi="Times New Roman" w:cs="Times New Roman"/>
          <w:sz w:val="24"/>
          <w:szCs w:val="24"/>
        </w:rPr>
        <w:t xml:space="preserve">преди датата на подаване на </w:t>
      </w:r>
      <w:r w:rsidRPr="004B42D4">
        <w:rPr>
          <w:rFonts w:ascii="Times New Roman" w:hAnsi="Times New Roman" w:cs="Times New Roman"/>
          <w:sz w:val="24"/>
          <w:szCs w:val="24"/>
        </w:rPr>
        <w:t>проектното предложение</w:t>
      </w:r>
      <w:r>
        <w:rPr>
          <w:rFonts w:ascii="Times New Roman" w:hAnsi="Times New Roman" w:cs="Times New Roman"/>
          <w:sz w:val="24"/>
          <w:szCs w:val="24"/>
        </w:rPr>
        <w:t>. За иновации не се смятат малки промени или подобрения, увеличаване на количеството произвеждана продукция чрез прибавяне на производствени или логистични системи, много близки до вече съществуващи такива, изваждане от употреба на определен процес, само подмяна на дълготрайни материални активи (ДМА) или надграждането им, промени, произтичащи изцяло от промени в цените на производствените фактори, сезонни или други циклични промени, търговия с нови или значително подобрени продукти, както и промени в организацията на работното място или външните отношения, които се основават на организационни методи, които вече се използват в стопанството.</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16. "Интегрирани проекти" са проекти, изпълнявани от един кандидат и съчетаващи най-малко две дейности или операции, попадащи в обхвата на две различни мерки:</w:t>
      </w:r>
    </w:p>
    <w:p w:rsidR="00AB5C99" w:rsidRDefault="00AB5C99" w:rsidP="008B44BB">
      <w:pPr>
        <w:widowControl w:val="0"/>
        <w:autoSpaceDE w:val="0"/>
        <w:autoSpaceDN w:val="0"/>
        <w:adjustRightInd w:val="0"/>
        <w:ind w:firstLine="480"/>
        <w:jc w:val="both"/>
        <w:rPr>
          <w:rFonts w:ascii="Times New Roman" w:hAnsi="Times New Roman" w:cs="Times New Roman"/>
          <w:sz w:val="24"/>
          <w:szCs w:val="24"/>
        </w:rPr>
      </w:pPr>
      <w:r>
        <w:rPr>
          <w:rFonts w:ascii="Times New Roman" w:hAnsi="Times New Roman" w:cs="Times New Roman"/>
          <w:sz w:val="24"/>
          <w:szCs w:val="24"/>
        </w:rPr>
        <w:t xml:space="preserve"> а) мярка 4 и мярка 6;</w:t>
      </w:r>
    </w:p>
    <w:p w:rsidR="00AB5C99" w:rsidRDefault="00AB5C99" w:rsidP="008B44BB">
      <w:pPr>
        <w:widowControl w:val="0"/>
        <w:autoSpaceDE w:val="0"/>
        <w:autoSpaceDN w:val="0"/>
        <w:adjustRightInd w:val="0"/>
        <w:ind w:firstLine="480"/>
        <w:jc w:val="both"/>
        <w:rPr>
          <w:rFonts w:ascii="Times New Roman" w:hAnsi="Times New Roman" w:cs="Times New Roman"/>
          <w:sz w:val="24"/>
          <w:szCs w:val="24"/>
        </w:rPr>
      </w:pPr>
      <w:r>
        <w:rPr>
          <w:rFonts w:ascii="Times New Roman" w:hAnsi="Times New Roman" w:cs="Times New Roman"/>
          <w:sz w:val="24"/>
          <w:szCs w:val="24"/>
        </w:rPr>
        <w:lastRenderedPageBreak/>
        <w:t xml:space="preserve"> б) мярка 4 и мярка 8;</w:t>
      </w:r>
    </w:p>
    <w:p w:rsidR="00AB5C99" w:rsidRDefault="00AB5C99" w:rsidP="008B44BB">
      <w:pPr>
        <w:widowControl w:val="0"/>
        <w:autoSpaceDE w:val="0"/>
        <w:autoSpaceDN w:val="0"/>
        <w:adjustRightInd w:val="0"/>
        <w:ind w:firstLine="480"/>
        <w:jc w:val="both"/>
        <w:rPr>
          <w:rFonts w:ascii="Times New Roman" w:hAnsi="Times New Roman" w:cs="Times New Roman"/>
          <w:sz w:val="24"/>
          <w:szCs w:val="24"/>
        </w:rPr>
      </w:pPr>
      <w:r>
        <w:rPr>
          <w:rFonts w:ascii="Times New Roman" w:hAnsi="Times New Roman" w:cs="Times New Roman"/>
          <w:sz w:val="24"/>
          <w:szCs w:val="24"/>
        </w:rPr>
        <w:t xml:space="preserve"> в) мярка 4 и мярка 9;</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или </w:t>
      </w:r>
      <w:proofErr w:type="spellStart"/>
      <w:r>
        <w:rPr>
          <w:rFonts w:ascii="Times New Roman" w:hAnsi="Times New Roman" w:cs="Times New Roman"/>
          <w:sz w:val="24"/>
          <w:szCs w:val="24"/>
        </w:rPr>
        <w:t>подмерки</w:t>
      </w:r>
      <w:proofErr w:type="spellEnd"/>
      <w:r>
        <w:rPr>
          <w:rFonts w:ascii="Times New Roman" w:hAnsi="Times New Roman" w:cs="Times New Roman"/>
          <w:sz w:val="24"/>
          <w:szCs w:val="24"/>
        </w:rPr>
        <w:t xml:space="preserve"> от тези мерки от ПРСР 2014 – 2020 г., като проектите трябва да допринасят и показват по-добри финансови резултати от дейността на кандидата в резултат на едновременното изпълнение на съответните дейности или операции.</w:t>
      </w:r>
    </w:p>
    <w:p w:rsidR="00AB5C99" w:rsidRPr="00671934"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17</w:t>
      </w:r>
      <w:r w:rsidRPr="00671934">
        <w:rPr>
          <w:rFonts w:ascii="Times New Roman" w:hAnsi="Times New Roman" w:cs="Times New Roman"/>
          <w:sz w:val="24"/>
          <w:szCs w:val="24"/>
        </w:rPr>
        <w:t xml:space="preserve">. Кандидати  получавали финансова помощ за сходна дейност“ са кандидати, получили плащане по мярка 123 „Добавяне на стойност към земеделски и горски продукти“ или мярка 121 „Модернизиране на земеделските стопанства“ за преработка (ПРСР 2007-2013 г.) или са сключили договор за предоставяне на финансова помощ по </w:t>
      </w:r>
      <w:proofErr w:type="spellStart"/>
      <w:r w:rsidRPr="00671934">
        <w:rPr>
          <w:rFonts w:ascii="Times New Roman" w:hAnsi="Times New Roman" w:cs="Times New Roman"/>
          <w:sz w:val="24"/>
          <w:szCs w:val="24"/>
        </w:rPr>
        <w:t>подмярка</w:t>
      </w:r>
      <w:proofErr w:type="spellEnd"/>
      <w:r w:rsidRPr="00671934">
        <w:rPr>
          <w:rFonts w:ascii="Times New Roman" w:hAnsi="Times New Roman" w:cs="Times New Roman"/>
          <w:sz w:val="24"/>
          <w:szCs w:val="24"/>
        </w:rPr>
        <w:t xml:space="preserve"> 4.2 „Инвестиции в преработка/маркетинг на селскостопански продукти“ от мярка 4. „Инвестиции в материални</w:t>
      </w:r>
      <w:r>
        <w:rPr>
          <w:rFonts w:ascii="Times New Roman" w:hAnsi="Times New Roman" w:cs="Times New Roman"/>
          <w:sz w:val="24"/>
          <w:szCs w:val="24"/>
        </w:rPr>
        <w:t xml:space="preserve"> активи“ (ПРСР 2014-2020 г.).</w:t>
      </w:r>
    </w:p>
    <w:p w:rsidR="00AB5C99" w:rsidRPr="00BD656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18</w:t>
      </w:r>
      <w:r w:rsidRPr="00671934">
        <w:rPr>
          <w:rFonts w:ascii="Times New Roman" w:hAnsi="Times New Roman" w:cs="Times New Roman"/>
          <w:sz w:val="24"/>
          <w:szCs w:val="24"/>
        </w:rPr>
        <w:t>. „Коефициентът на обща ликвидност“ е съотношение на краткотрайните активи (КА) към краткосрочните пасиви (КП). Определя се по формулата: Коефицие</w:t>
      </w:r>
      <w:r>
        <w:rPr>
          <w:rFonts w:ascii="Times New Roman" w:hAnsi="Times New Roman" w:cs="Times New Roman"/>
          <w:sz w:val="24"/>
          <w:szCs w:val="24"/>
        </w:rPr>
        <w:t>нтът на обща ликвидност =КА/КП.</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19. "Колективни инвестиции" са инвестиции, свързани с осигуряване на сътрудничеството между над 6 земеделски стопани или признати групи/организации на производители, чрез предприемане на по-ефективни и икономически изгодни инвестиции в общи съоръжения, оборудване, инфраструктура и др.</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20. "Маркетинг на продукт" е притежаване или излагане с цел продажба, предлагане за продан, доставяне или изнасяне на пазара по какъвто и да било начин на даден продукт; маркетинг на продукт включва и дейностите по неговото съхранение, сортиране, маркиране, опаковане и транспортиране.</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21. "Материални активи" са активи, отнасящи се до земя, сгради, машини и съоръжения.</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22. "Междинно плащане" е плащане за обособена част от одобрената и извършена инвестиция.</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23. "Международно признат стандарт" е стандарт, който е приет от международна организация по стандартизация или международна организация с дейност по стандартизация и е общодостъпен.</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24. "Места по националната екологична мрежа Натура 2000" са защитените зони по смисъла на чл. 6, ал. 1 от Закона за биологичното разнообразие.</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25. "</w:t>
      </w:r>
      <w:proofErr w:type="spellStart"/>
      <w:r>
        <w:rPr>
          <w:rFonts w:ascii="Times New Roman" w:hAnsi="Times New Roman" w:cs="Times New Roman"/>
          <w:sz w:val="24"/>
          <w:szCs w:val="24"/>
        </w:rPr>
        <w:t>Микропредприятия</w:t>
      </w:r>
      <w:proofErr w:type="spellEnd"/>
      <w:r>
        <w:rPr>
          <w:rFonts w:ascii="Times New Roman" w:hAnsi="Times New Roman" w:cs="Times New Roman"/>
          <w:sz w:val="24"/>
          <w:szCs w:val="24"/>
        </w:rPr>
        <w:t>, малки предприятия, средни предприятия" са предприятия по смисъла на Закона за малките и средните предприятия.</w:t>
      </w:r>
    </w:p>
    <w:p w:rsidR="00AB5C99" w:rsidRPr="00996FDC"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26. "Млади земеделски стопани" са лица, които към момента на подаване на </w:t>
      </w:r>
      <w:r w:rsidRPr="004B42D4">
        <w:rPr>
          <w:rFonts w:ascii="Times New Roman" w:hAnsi="Times New Roman" w:cs="Times New Roman"/>
          <w:sz w:val="24"/>
          <w:szCs w:val="24"/>
        </w:rPr>
        <w:t>проектното предложение</w:t>
      </w:r>
      <w:r>
        <w:rPr>
          <w:rFonts w:ascii="Times New Roman" w:hAnsi="Times New Roman" w:cs="Times New Roman"/>
          <w:sz w:val="24"/>
          <w:szCs w:val="24"/>
        </w:rPr>
        <w:t xml:space="preserve"> са на възраст между 18 и не повече от 40 години и притежават съответни професионални умения и компетентности и се установяват за пръв път като ръководител на земеделско стопанство или вече са се установили през петте години преди подаване на </w:t>
      </w:r>
      <w:r w:rsidRPr="004B42D4">
        <w:rPr>
          <w:rFonts w:ascii="Times New Roman" w:hAnsi="Times New Roman" w:cs="Times New Roman"/>
          <w:sz w:val="24"/>
          <w:szCs w:val="24"/>
        </w:rPr>
        <w:t>проектното предложение</w:t>
      </w:r>
      <w:r>
        <w:rPr>
          <w:rFonts w:ascii="Times New Roman" w:hAnsi="Times New Roman" w:cs="Times New Roman"/>
          <w:sz w:val="24"/>
          <w:szCs w:val="24"/>
        </w:rPr>
        <w:t xml:space="preserve">. Когато кандидати за подпомагане са юридически лица, за да се считат за млади земеделски стопани, те следва да отговарят на изискванията по чл. 2 от Делегиран регламент № 807/2014 на Комисията от 11 март 2014 г. за допълнение на някои разпоредби на Регламент (ЕС) на Европейския парламент и на Съвета. Не са млади земеделски стопани кандидати – юридически лица, чийто мажоритарен дял от капитала е придобит от физическото лице на възраст между 18 и 40 ненавършени години след 1 януари 2014 г. Установяването като </w:t>
      </w:r>
      <w:r>
        <w:rPr>
          <w:rFonts w:ascii="Times New Roman" w:hAnsi="Times New Roman" w:cs="Times New Roman"/>
          <w:sz w:val="24"/>
          <w:szCs w:val="24"/>
        </w:rPr>
        <w:lastRenderedPageBreak/>
        <w:t>ръководител на земеделско стопанство е настъпването на първото от следните събития:</w:t>
      </w:r>
    </w:p>
    <w:p w:rsidR="00AB5C99" w:rsidRPr="00996FDC" w:rsidRDefault="00AB5C99" w:rsidP="008B44BB">
      <w:pPr>
        <w:widowControl w:val="0"/>
        <w:autoSpaceDE w:val="0"/>
        <w:autoSpaceDN w:val="0"/>
        <w:adjustRightInd w:val="0"/>
        <w:ind w:firstLine="480"/>
        <w:jc w:val="both"/>
        <w:rPr>
          <w:rFonts w:ascii="Times New Roman" w:hAnsi="Times New Roman" w:cs="Times New Roman"/>
          <w:sz w:val="24"/>
          <w:szCs w:val="24"/>
        </w:rPr>
      </w:pPr>
      <w:r>
        <w:rPr>
          <w:rFonts w:ascii="Times New Roman" w:hAnsi="Times New Roman" w:cs="Times New Roman"/>
          <w:sz w:val="24"/>
          <w:szCs w:val="24"/>
        </w:rPr>
        <w:t xml:space="preserve"> а) регистрация на кандидата (физическо или юридическо лице), на друго юридическо лице, чийто мажоритарен дял от капитала се притежава от кандидата, на мажоритарния собственик на дял от капитала на кандидата и/или на юридическо лице, чийто мажоритарен дял от капитала се притежава от мажоритарния собственик на дял от капитала на кандидата, за първи път като земеделски стопанин по Закона за подпомагане на земеделските производители;</w:t>
      </w:r>
    </w:p>
    <w:p w:rsidR="00AB5C99" w:rsidRPr="00996FDC" w:rsidRDefault="00AB5C99" w:rsidP="008B44BB">
      <w:pPr>
        <w:widowControl w:val="0"/>
        <w:autoSpaceDE w:val="0"/>
        <w:autoSpaceDN w:val="0"/>
        <w:adjustRightInd w:val="0"/>
        <w:ind w:firstLine="480"/>
        <w:jc w:val="both"/>
        <w:rPr>
          <w:rFonts w:ascii="Times New Roman" w:hAnsi="Times New Roman" w:cs="Times New Roman"/>
          <w:sz w:val="24"/>
          <w:szCs w:val="24"/>
        </w:rPr>
      </w:pPr>
      <w:r>
        <w:rPr>
          <w:rFonts w:ascii="Times New Roman" w:hAnsi="Times New Roman" w:cs="Times New Roman"/>
          <w:sz w:val="24"/>
          <w:szCs w:val="24"/>
        </w:rPr>
        <w:t xml:space="preserve"> б) започване на отглеждане на животни в животновъден обект – собствен или нает от кандидата (физическо или юридическо лице), от друго юридическо лице, чийто мажоритарен дял от капитала се притежава от кандидата, от мажоритарния собственик на дял от капитала на кандидата и/или на юридическо лице, чийто мажоритарен дял от капитала се притежава от мажоритарния собственик на дял от капитала на кандидата;</w:t>
      </w:r>
    </w:p>
    <w:p w:rsidR="00AB5C99" w:rsidRDefault="00AB5C99" w:rsidP="008B44BB">
      <w:pPr>
        <w:widowControl w:val="0"/>
        <w:autoSpaceDE w:val="0"/>
        <w:autoSpaceDN w:val="0"/>
        <w:adjustRightInd w:val="0"/>
        <w:ind w:firstLine="480"/>
        <w:jc w:val="both"/>
        <w:rPr>
          <w:rFonts w:ascii="Times New Roman" w:hAnsi="Times New Roman" w:cs="Times New Roman"/>
          <w:sz w:val="24"/>
          <w:szCs w:val="24"/>
        </w:rPr>
      </w:pPr>
      <w:r>
        <w:rPr>
          <w:rFonts w:ascii="Times New Roman" w:hAnsi="Times New Roman" w:cs="Times New Roman"/>
          <w:sz w:val="24"/>
          <w:szCs w:val="24"/>
        </w:rPr>
        <w:t xml:space="preserve"> в) стопанисване на земя с цел производство на земеделска или животинска продукция от страна на кандидата (физическо или юридическо лице), друго юридическо лице, чийто мажоритарен дял се притежава от кандидата, мажоритарния собственик на дял от капитала на кандидата и/или юридическо лице, чийто мажоритарен дял от капитала се притежава от мажоритарния собственик на дял от капитала на кандидата.</w:t>
      </w:r>
    </w:p>
    <w:p w:rsidR="00AB5C99" w:rsidRPr="00BD6569" w:rsidRDefault="00AB5C99" w:rsidP="008B44BB">
      <w:pPr>
        <w:widowControl w:val="0"/>
        <w:autoSpaceDE w:val="0"/>
        <w:autoSpaceDN w:val="0"/>
        <w:adjustRightInd w:val="0"/>
        <w:jc w:val="both"/>
        <w:rPr>
          <w:rFonts w:ascii="Times New Roman" w:hAnsi="Times New Roman" w:cs="Times New Roman"/>
          <w:sz w:val="24"/>
          <w:szCs w:val="24"/>
        </w:rPr>
      </w:pPr>
      <w:r w:rsidRPr="00671934">
        <w:rPr>
          <w:rFonts w:ascii="Times New Roman" w:hAnsi="Times New Roman" w:cs="Times New Roman"/>
          <w:sz w:val="24"/>
          <w:szCs w:val="24"/>
        </w:rPr>
        <w:t>2</w:t>
      </w:r>
      <w:r>
        <w:rPr>
          <w:rFonts w:ascii="Times New Roman" w:hAnsi="Times New Roman" w:cs="Times New Roman"/>
          <w:sz w:val="24"/>
          <w:szCs w:val="24"/>
        </w:rPr>
        <w:t>7.</w:t>
      </w:r>
      <w:r w:rsidRPr="00671934">
        <w:rPr>
          <w:rFonts w:ascii="Times New Roman" w:hAnsi="Times New Roman" w:cs="Times New Roman"/>
          <w:sz w:val="24"/>
          <w:szCs w:val="24"/>
        </w:rPr>
        <w:t xml:space="preserve"> „Мобилни преработвателни съоръжения“ са инсталации, съоръжения и/или машини, използвани в процеса на преработка, съгласно технологичния проект, които могат да се транспортират и да работят на избрана площадка, в близост до животновъдни обекти или насаждения от съответните селскостопански продукти, за чиято преработка и</w:t>
      </w:r>
      <w:r>
        <w:rPr>
          <w:rFonts w:ascii="Times New Roman" w:hAnsi="Times New Roman" w:cs="Times New Roman"/>
          <w:sz w:val="24"/>
          <w:szCs w:val="24"/>
        </w:rPr>
        <w:t>/или маркетинг се кандидатства.</w:t>
      </w:r>
    </w:p>
    <w:p w:rsidR="00AB5C99" w:rsidRPr="00996FDC"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28. "Независими оферти" са оферти, подадени от лица, които не се намират в следната свързаност помежду си или спрямо кандидата:</w:t>
      </w:r>
    </w:p>
    <w:p w:rsidR="00AB5C99" w:rsidRPr="00996FDC" w:rsidRDefault="00AB5C99" w:rsidP="008B44BB">
      <w:pPr>
        <w:widowControl w:val="0"/>
        <w:autoSpaceDE w:val="0"/>
        <w:autoSpaceDN w:val="0"/>
        <w:adjustRightInd w:val="0"/>
        <w:ind w:firstLine="480"/>
        <w:jc w:val="both"/>
        <w:rPr>
          <w:rFonts w:ascii="Times New Roman" w:hAnsi="Times New Roman" w:cs="Times New Roman"/>
          <w:sz w:val="24"/>
          <w:szCs w:val="24"/>
        </w:rPr>
      </w:pPr>
      <w:r>
        <w:rPr>
          <w:rFonts w:ascii="Times New Roman" w:hAnsi="Times New Roman" w:cs="Times New Roman"/>
          <w:sz w:val="24"/>
          <w:szCs w:val="24"/>
        </w:rPr>
        <w:t xml:space="preserve"> а) едното участва в управлението на дружеството на другото;</w:t>
      </w:r>
    </w:p>
    <w:p w:rsidR="00AB5C99" w:rsidRPr="00996FDC" w:rsidRDefault="00AB5C99" w:rsidP="008B44BB">
      <w:pPr>
        <w:widowControl w:val="0"/>
        <w:autoSpaceDE w:val="0"/>
        <w:autoSpaceDN w:val="0"/>
        <w:adjustRightInd w:val="0"/>
        <w:ind w:firstLine="480"/>
        <w:jc w:val="both"/>
        <w:rPr>
          <w:rFonts w:ascii="Times New Roman" w:hAnsi="Times New Roman" w:cs="Times New Roman"/>
          <w:sz w:val="24"/>
          <w:szCs w:val="24"/>
        </w:rPr>
      </w:pPr>
      <w:r>
        <w:rPr>
          <w:rFonts w:ascii="Times New Roman" w:hAnsi="Times New Roman" w:cs="Times New Roman"/>
          <w:sz w:val="24"/>
          <w:szCs w:val="24"/>
        </w:rPr>
        <w:t xml:space="preserve"> б) съдружници;</w:t>
      </w:r>
    </w:p>
    <w:p w:rsidR="00AB5C99" w:rsidRPr="00996FDC" w:rsidRDefault="00AB5C99" w:rsidP="008B44BB">
      <w:pPr>
        <w:widowControl w:val="0"/>
        <w:autoSpaceDE w:val="0"/>
        <w:autoSpaceDN w:val="0"/>
        <w:adjustRightInd w:val="0"/>
        <w:ind w:firstLine="480"/>
        <w:jc w:val="both"/>
        <w:rPr>
          <w:rFonts w:ascii="Times New Roman" w:hAnsi="Times New Roman" w:cs="Times New Roman"/>
          <w:sz w:val="24"/>
          <w:szCs w:val="24"/>
        </w:rPr>
      </w:pPr>
      <w:r>
        <w:rPr>
          <w:rFonts w:ascii="Times New Roman" w:hAnsi="Times New Roman" w:cs="Times New Roman"/>
          <w:sz w:val="24"/>
          <w:szCs w:val="24"/>
        </w:rPr>
        <w:t xml:space="preserve"> в) съвместно контролират пряко трето лице;</w:t>
      </w:r>
    </w:p>
    <w:p w:rsidR="00AB5C99" w:rsidRPr="00996FDC" w:rsidRDefault="00AB5C99" w:rsidP="008B44BB">
      <w:pPr>
        <w:widowControl w:val="0"/>
        <w:autoSpaceDE w:val="0"/>
        <w:autoSpaceDN w:val="0"/>
        <w:adjustRightInd w:val="0"/>
        <w:ind w:firstLine="480"/>
        <w:jc w:val="both"/>
        <w:rPr>
          <w:rFonts w:ascii="Times New Roman" w:hAnsi="Times New Roman" w:cs="Times New Roman"/>
          <w:sz w:val="24"/>
          <w:szCs w:val="24"/>
        </w:rPr>
      </w:pPr>
      <w:r>
        <w:rPr>
          <w:rFonts w:ascii="Times New Roman" w:hAnsi="Times New Roman" w:cs="Times New Roman"/>
          <w:sz w:val="24"/>
          <w:szCs w:val="24"/>
        </w:rPr>
        <w:t xml:space="preserve"> г) участват пряко в управлението или капитала на друго лице, поради което между тях могат да се уговарят условия, различни от обичайните;</w:t>
      </w:r>
    </w:p>
    <w:p w:rsidR="00AB5C99" w:rsidRPr="00996FDC" w:rsidRDefault="00AB5C99" w:rsidP="008B44BB">
      <w:pPr>
        <w:widowControl w:val="0"/>
        <w:autoSpaceDE w:val="0"/>
        <w:autoSpaceDN w:val="0"/>
        <w:adjustRightInd w:val="0"/>
        <w:ind w:firstLine="480"/>
        <w:jc w:val="both"/>
        <w:rPr>
          <w:rFonts w:ascii="Times New Roman" w:hAnsi="Times New Roman" w:cs="Times New Roman"/>
          <w:sz w:val="24"/>
          <w:szCs w:val="24"/>
        </w:rPr>
      </w:pPr>
      <w:r>
        <w:rPr>
          <w:rFonts w:ascii="Times New Roman" w:hAnsi="Times New Roman" w:cs="Times New Roman"/>
          <w:sz w:val="24"/>
          <w:szCs w:val="24"/>
        </w:rPr>
        <w:t xml:space="preserve"> д) едното лице притежава повече от половината от броя на гласовете в общото събрание на другото лице;</w:t>
      </w:r>
    </w:p>
    <w:p w:rsidR="00AB5C99" w:rsidRPr="00996FDC" w:rsidRDefault="00AB5C99" w:rsidP="008B44BB">
      <w:pPr>
        <w:widowControl w:val="0"/>
        <w:autoSpaceDE w:val="0"/>
        <w:autoSpaceDN w:val="0"/>
        <w:adjustRightInd w:val="0"/>
        <w:ind w:firstLine="480"/>
        <w:jc w:val="both"/>
        <w:rPr>
          <w:rFonts w:ascii="Times New Roman" w:hAnsi="Times New Roman" w:cs="Times New Roman"/>
          <w:sz w:val="24"/>
          <w:szCs w:val="24"/>
        </w:rPr>
      </w:pPr>
      <w:r>
        <w:rPr>
          <w:rFonts w:ascii="Times New Roman" w:hAnsi="Times New Roman" w:cs="Times New Roman"/>
          <w:sz w:val="24"/>
          <w:szCs w:val="24"/>
        </w:rPr>
        <w:t xml:space="preserve"> е) лицата, чиято дейност се контролира пряко или косвено от трето лице – физическо или юридическо;</w:t>
      </w:r>
    </w:p>
    <w:p w:rsidR="00AB5C99" w:rsidRPr="00C006BC" w:rsidRDefault="00AB5C99" w:rsidP="00842881">
      <w:pPr>
        <w:widowControl w:val="0"/>
        <w:autoSpaceDE w:val="0"/>
        <w:autoSpaceDN w:val="0"/>
        <w:adjustRightInd w:val="0"/>
        <w:ind w:firstLine="480"/>
        <w:jc w:val="both"/>
        <w:rPr>
          <w:rFonts w:ascii="Times New Roman" w:hAnsi="Times New Roman" w:cs="Times New Roman"/>
          <w:sz w:val="24"/>
          <w:szCs w:val="24"/>
          <w:lang w:val="ru-RU"/>
        </w:rPr>
      </w:pPr>
      <w:r>
        <w:rPr>
          <w:rFonts w:ascii="Times New Roman" w:hAnsi="Times New Roman" w:cs="Times New Roman"/>
          <w:sz w:val="24"/>
          <w:szCs w:val="24"/>
        </w:rPr>
        <w:t xml:space="preserve"> ж) лицата, едното от които е търговски представител на другото.</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29. "Нематериални активи" са активи, възникнали от трансфер на технологии чрез придобиване на патентни права, лицензи или ноу-хау. </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30. "Непреодолима сила или извънредни обстоятелства" са обстоятелства по смисъла на чл. 2, параграф 2 от Регламент (ЕС) № 1306/2013 г.</w:t>
      </w:r>
    </w:p>
    <w:p w:rsidR="00AB5C99" w:rsidRPr="006E455D" w:rsidRDefault="00AB5C99" w:rsidP="006E455D">
      <w:pPr>
        <w:spacing w:before="100" w:beforeAutospacing="1" w:after="100" w:afterAutospacing="1" w:line="240" w:lineRule="auto"/>
        <w:rPr>
          <w:rFonts w:ascii="Times New Roman" w:hAnsi="Times New Roman" w:cs="Times New Roman"/>
          <w:i/>
          <w:iCs/>
          <w:sz w:val="24"/>
          <w:szCs w:val="24"/>
          <w:lang w:eastAsia="bg-BG"/>
        </w:rPr>
      </w:pPr>
      <w:r w:rsidRPr="006E455D">
        <w:rPr>
          <w:rFonts w:ascii="Times New Roman" w:hAnsi="Times New Roman" w:cs="Times New Roman"/>
          <w:i/>
          <w:iCs/>
          <w:sz w:val="24"/>
          <w:szCs w:val="24"/>
          <w:lang w:eastAsia="bg-BG"/>
        </w:rPr>
        <w:t>Могат да бъдат признати в следните случаи:</w:t>
      </w:r>
    </w:p>
    <w:tbl>
      <w:tblPr>
        <w:tblW w:w="5000" w:type="pct"/>
        <w:tblCellSpacing w:w="0" w:type="dxa"/>
        <w:tblInd w:w="2" w:type="dxa"/>
        <w:tblCellMar>
          <w:left w:w="0" w:type="dxa"/>
          <w:right w:w="0" w:type="dxa"/>
        </w:tblCellMar>
        <w:tblLook w:val="00A0" w:firstRow="1" w:lastRow="0" w:firstColumn="1" w:lastColumn="0" w:noHBand="0" w:noVBand="0"/>
      </w:tblPr>
      <w:tblGrid>
        <w:gridCol w:w="316"/>
        <w:gridCol w:w="9748"/>
      </w:tblGrid>
      <w:tr w:rsidR="00AB5C99" w:rsidRPr="006E455D">
        <w:trPr>
          <w:tblCellSpacing w:w="0" w:type="dxa"/>
        </w:trPr>
        <w:tc>
          <w:tcPr>
            <w:tcW w:w="157" w:type="pct"/>
          </w:tcPr>
          <w:p w:rsidR="00AB5C99" w:rsidRPr="006E455D" w:rsidRDefault="00AB5C99" w:rsidP="006E455D">
            <w:pPr>
              <w:spacing w:before="100" w:beforeAutospacing="1" w:after="100" w:afterAutospacing="1" w:line="240" w:lineRule="auto"/>
              <w:rPr>
                <w:rFonts w:ascii="Times New Roman" w:hAnsi="Times New Roman" w:cs="Times New Roman"/>
                <w:i/>
                <w:iCs/>
                <w:sz w:val="24"/>
                <w:szCs w:val="24"/>
                <w:lang w:eastAsia="bg-BG"/>
              </w:rPr>
            </w:pPr>
            <w:r w:rsidRPr="006E455D">
              <w:rPr>
                <w:rFonts w:ascii="Times New Roman" w:hAnsi="Times New Roman" w:cs="Times New Roman"/>
                <w:i/>
                <w:iCs/>
                <w:sz w:val="24"/>
                <w:szCs w:val="24"/>
                <w:lang w:eastAsia="bg-BG"/>
              </w:rPr>
              <w:lastRenderedPageBreak/>
              <w:t>а)</w:t>
            </w:r>
          </w:p>
        </w:tc>
        <w:tc>
          <w:tcPr>
            <w:tcW w:w="4843" w:type="pct"/>
          </w:tcPr>
          <w:p w:rsidR="00AB5C99" w:rsidRPr="006E455D" w:rsidRDefault="00AB5C99" w:rsidP="006E455D">
            <w:pPr>
              <w:spacing w:before="100" w:beforeAutospacing="1" w:after="100" w:afterAutospacing="1" w:line="240" w:lineRule="auto"/>
              <w:rPr>
                <w:rFonts w:ascii="Times New Roman" w:hAnsi="Times New Roman" w:cs="Times New Roman"/>
                <w:i/>
                <w:iCs/>
                <w:sz w:val="24"/>
                <w:szCs w:val="24"/>
                <w:lang w:eastAsia="bg-BG"/>
              </w:rPr>
            </w:pPr>
            <w:r w:rsidRPr="006E455D">
              <w:rPr>
                <w:rFonts w:ascii="Times New Roman" w:hAnsi="Times New Roman" w:cs="Times New Roman"/>
                <w:i/>
                <w:iCs/>
                <w:sz w:val="24"/>
                <w:szCs w:val="24"/>
                <w:lang w:eastAsia="bg-BG"/>
              </w:rPr>
              <w:t xml:space="preserve">смърт на </w:t>
            </w:r>
            <w:proofErr w:type="spellStart"/>
            <w:r w:rsidRPr="006E455D">
              <w:rPr>
                <w:rFonts w:ascii="Times New Roman" w:hAnsi="Times New Roman" w:cs="Times New Roman"/>
                <w:i/>
                <w:iCs/>
                <w:sz w:val="24"/>
                <w:szCs w:val="24"/>
                <w:lang w:eastAsia="bg-BG"/>
              </w:rPr>
              <w:t>бенефициера</w:t>
            </w:r>
            <w:proofErr w:type="spellEnd"/>
            <w:r w:rsidRPr="006E455D">
              <w:rPr>
                <w:rFonts w:ascii="Times New Roman" w:hAnsi="Times New Roman" w:cs="Times New Roman"/>
                <w:i/>
                <w:iCs/>
                <w:sz w:val="24"/>
                <w:szCs w:val="24"/>
                <w:lang w:eastAsia="bg-BG"/>
              </w:rPr>
              <w:t>;</w:t>
            </w:r>
          </w:p>
        </w:tc>
      </w:tr>
    </w:tbl>
    <w:p w:rsidR="00AB5C99" w:rsidRPr="006E455D" w:rsidRDefault="00AB5C99" w:rsidP="006E455D">
      <w:pPr>
        <w:spacing w:after="0" w:line="240" w:lineRule="auto"/>
        <w:rPr>
          <w:rFonts w:ascii="Times New Roman" w:hAnsi="Times New Roman" w:cs="Times New Roman"/>
          <w:i/>
          <w:iCs/>
          <w:vanish/>
          <w:sz w:val="24"/>
          <w:szCs w:val="24"/>
          <w:lang w:eastAsia="bg-BG"/>
        </w:rPr>
      </w:pPr>
    </w:p>
    <w:tbl>
      <w:tblPr>
        <w:tblW w:w="5000" w:type="pct"/>
        <w:tblCellSpacing w:w="0" w:type="dxa"/>
        <w:tblInd w:w="2" w:type="dxa"/>
        <w:tblCellMar>
          <w:left w:w="0" w:type="dxa"/>
          <w:right w:w="0" w:type="dxa"/>
        </w:tblCellMar>
        <w:tblLook w:val="00A0" w:firstRow="1" w:lastRow="0" w:firstColumn="1" w:lastColumn="0" w:noHBand="0" w:noVBand="0"/>
      </w:tblPr>
      <w:tblGrid>
        <w:gridCol w:w="289"/>
        <w:gridCol w:w="9775"/>
      </w:tblGrid>
      <w:tr w:rsidR="00AB5C99" w:rsidRPr="006E455D">
        <w:trPr>
          <w:tblCellSpacing w:w="0" w:type="dxa"/>
        </w:trPr>
        <w:tc>
          <w:tcPr>
            <w:tcW w:w="0" w:type="auto"/>
          </w:tcPr>
          <w:p w:rsidR="00AB5C99" w:rsidRPr="006E455D" w:rsidRDefault="00AB5C99" w:rsidP="006E455D">
            <w:pPr>
              <w:spacing w:before="100" w:beforeAutospacing="1" w:after="100" w:afterAutospacing="1" w:line="240" w:lineRule="auto"/>
              <w:rPr>
                <w:rFonts w:ascii="Times New Roman" w:hAnsi="Times New Roman" w:cs="Times New Roman"/>
                <w:i/>
                <w:iCs/>
                <w:sz w:val="24"/>
                <w:szCs w:val="24"/>
                <w:lang w:eastAsia="bg-BG"/>
              </w:rPr>
            </w:pPr>
            <w:r w:rsidRPr="006E455D">
              <w:rPr>
                <w:rFonts w:ascii="Times New Roman" w:hAnsi="Times New Roman" w:cs="Times New Roman"/>
                <w:i/>
                <w:iCs/>
                <w:sz w:val="24"/>
                <w:szCs w:val="24"/>
                <w:lang w:eastAsia="bg-BG"/>
              </w:rPr>
              <w:t>б)</w:t>
            </w:r>
          </w:p>
        </w:tc>
        <w:tc>
          <w:tcPr>
            <w:tcW w:w="0" w:type="auto"/>
          </w:tcPr>
          <w:p w:rsidR="00AB5C99" w:rsidRPr="006E455D" w:rsidRDefault="00AB5C99" w:rsidP="006E455D">
            <w:pPr>
              <w:spacing w:before="100" w:beforeAutospacing="1" w:after="100" w:afterAutospacing="1" w:line="240" w:lineRule="auto"/>
              <w:rPr>
                <w:rFonts w:ascii="Times New Roman" w:hAnsi="Times New Roman" w:cs="Times New Roman"/>
                <w:i/>
                <w:iCs/>
                <w:sz w:val="24"/>
                <w:szCs w:val="24"/>
                <w:lang w:eastAsia="bg-BG"/>
              </w:rPr>
            </w:pPr>
            <w:r w:rsidRPr="006E455D">
              <w:rPr>
                <w:rFonts w:ascii="Times New Roman" w:hAnsi="Times New Roman" w:cs="Times New Roman"/>
                <w:i/>
                <w:iCs/>
                <w:sz w:val="24"/>
                <w:szCs w:val="24"/>
                <w:lang w:eastAsia="bg-BG"/>
              </w:rPr>
              <w:t xml:space="preserve">дългосрочна професионална нетрудоспособност на </w:t>
            </w:r>
            <w:proofErr w:type="spellStart"/>
            <w:r w:rsidRPr="006E455D">
              <w:rPr>
                <w:rFonts w:ascii="Times New Roman" w:hAnsi="Times New Roman" w:cs="Times New Roman"/>
                <w:i/>
                <w:iCs/>
                <w:sz w:val="24"/>
                <w:szCs w:val="24"/>
                <w:lang w:eastAsia="bg-BG"/>
              </w:rPr>
              <w:t>бенефициера</w:t>
            </w:r>
            <w:proofErr w:type="spellEnd"/>
            <w:r w:rsidRPr="006E455D">
              <w:rPr>
                <w:rFonts w:ascii="Times New Roman" w:hAnsi="Times New Roman" w:cs="Times New Roman"/>
                <w:i/>
                <w:iCs/>
                <w:sz w:val="24"/>
                <w:szCs w:val="24"/>
                <w:lang w:eastAsia="bg-BG"/>
              </w:rPr>
              <w:t>;</w:t>
            </w:r>
          </w:p>
        </w:tc>
      </w:tr>
    </w:tbl>
    <w:p w:rsidR="00AB5C99" w:rsidRPr="006E455D" w:rsidRDefault="00AB5C99" w:rsidP="006E455D">
      <w:pPr>
        <w:spacing w:after="0" w:line="240" w:lineRule="auto"/>
        <w:rPr>
          <w:rFonts w:ascii="Times New Roman" w:hAnsi="Times New Roman" w:cs="Times New Roman"/>
          <w:i/>
          <w:iCs/>
          <w:vanish/>
          <w:sz w:val="24"/>
          <w:szCs w:val="24"/>
          <w:lang w:eastAsia="bg-BG"/>
        </w:rPr>
      </w:pPr>
    </w:p>
    <w:tbl>
      <w:tblPr>
        <w:tblW w:w="5000" w:type="pct"/>
        <w:tblCellSpacing w:w="0" w:type="dxa"/>
        <w:tblInd w:w="2" w:type="dxa"/>
        <w:tblCellMar>
          <w:left w:w="0" w:type="dxa"/>
          <w:right w:w="0" w:type="dxa"/>
        </w:tblCellMar>
        <w:tblLook w:val="00A0" w:firstRow="1" w:lastRow="0" w:firstColumn="1" w:lastColumn="0" w:noHBand="0" w:noVBand="0"/>
      </w:tblPr>
      <w:tblGrid>
        <w:gridCol w:w="245"/>
        <w:gridCol w:w="9819"/>
      </w:tblGrid>
      <w:tr w:rsidR="00AB5C99" w:rsidRPr="006E455D">
        <w:trPr>
          <w:tblCellSpacing w:w="0" w:type="dxa"/>
        </w:trPr>
        <w:tc>
          <w:tcPr>
            <w:tcW w:w="0" w:type="auto"/>
          </w:tcPr>
          <w:p w:rsidR="00AB5C99" w:rsidRPr="006E455D" w:rsidRDefault="00AB5C99" w:rsidP="006E455D">
            <w:pPr>
              <w:spacing w:before="100" w:beforeAutospacing="1" w:after="100" w:afterAutospacing="1" w:line="240" w:lineRule="auto"/>
              <w:rPr>
                <w:rFonts w:ascii="Times New Roman" w:hAnsi="Times New Roman" w:cs="Times New Roman"/>
                <w:i/>
                <w:iCs/>
                <w:sz w:val="24"/>
                <w:szCs w:val="24"/>
                <w:lang w:eastAsia="bg-BG"/>
              </w:rPr>
            </w:pPr>
            <w:r w:rsidRPr="006E455D">
              <w:rPr>
                <w:rFonts w:ascii="Times New Roman" w:hAnsi="Times New Roman" w:cs="Times New Roman"/>
                <w:i/>
                <w:iCs/>
                <w:sz w:val="24"/>
                <w:szCs w:val="24"/>
                <w:lang w:eastAsia="bg-BG"/>
              </w:rPr>
              <w:t>в)</w:t>
            </w:r>
          </w:p>
        </w:tc>
        <w:tc>
          <w:tcPr>
            <w:tcW w:w="0" w:type="auto"/>
          </w:tcPr>
          <w:p w:rsidR="00AB5C99" w:rsidRPr="006E455D" w:rsidRDefault="00AB5C99" w:rsidP="006E455D">
            <w:pPr>
              <w:spacing w:before="100" w:beforeAutospacing="1" w:after="100" w:afterAutospacing="1" w:line="240" w:lineRule="auto"/>
              <w:rPr>
                <w:rFonts w:ascii="Times New Roman" w:hAnsi="Times New Roman" w:cs="Times New Roman"/>
                <w:i/>
                <w:iCs/>
                <w:sz w:val="24"/>
                <w:szCs w:val="24"/>
                <w:lang w:eastAsia="bg-BG"/>
              </w:rPr>
            </w:pPr>
            <w:r w:rsidRPr="006E455D">
              <w:rPr>
                <w:rFonts w:ascii="Times New Roman" w:hAnsi="Times New Roman" w:cs="Times New Roman"/>
                <w:i/>
                <w:iCs/>
                <w:sz w:val="24"/>
                <w:szCs w:val="24"/>
                <w:lang w:eastAsia="bg-BG"/>
              </w:rPr>
              <w:t>тежко природно бедствие, което е засегнало сериозно стопанството;</w:t>
            </w:r>
          </w:p>
        </w:tc>
      </w:tr>
    </w:tbl>
    <w:p w:rsidR="00AB5C99" w:rsidRPr="006E455D" w:rsidRDefault="00AB5C99" w:rsidP="006E455D">
      <w:pPr>
        <w:spacing w:after="0" w:line="240" w:lineRule="auto"/>
        <w:rPr>
          <w:rFonts w:ascii="Times New Roman" w:hAnsi="Times New Roman" w:cs="Times New Roman"/>
          <w:i/>
          <w:iCs/>
          <w:vanish/>
          <w:sz w:val="24"/>
          <w:szCs w:val="24"/>
          <w:lang w:eastAsia="bg-BG"/>
        </w:rPr>
      </w:pPr>
    </w:p>
    <w:tbl>
      <w:tblPr>
        <w:tblW w:w="5000" w:type="pct"/>
        <w:tblCellSpacing w:w="0" w:type="dxa"/>
        <w:tblInd w:w="2" w:type="dxa"/>
        <w:tblCellMar>
          <w:left w:w="0" w:type="dxa"/>
          <w:right w:w="0" w:type="dxa"/>
        </w:tblCellMar>
        <w:tblLook w:val="00A0" w:firstRow="1" w:lastRow="0" w:firstColumn="1" w:lastColumn="0" w:noHBand="0" w:noVBand="0"/>
      </w:tblPr>
      <w:tblGrid>
        <w:gridCol w:w="233"/>
        <w:gridCol w:w="9831"/>
      </w:tblGrid>
      <w:tr w:rsidR="00AB5C99" w:rsidRPr="006E455D">
        <w:trPr>
          <w:tblCellSpacing w:w="0" w:type="dxa"/>
        </w:trPr>
        <w:tc>
          <w:tcPr>
            <w:tcW w:w="0" w:type="auto"/>
          </w:tcPr>
          <w:p w:rsidR="00AB5C99" w:rsidRPr="006E455D" w:rsidRDefault="00AB5C99" w:rsidP="006E455D">
            <w:pPr>
              <w:spacing w:before="100" w:beforeAutospacing="1" w:after="100" w:afterAutospacing="1" w:line="240" w:lineRule="auto"/>
              <w:rPr>
                <w:rFonts w:ascii="Times New Roman" w:hAnsi="Times New Roman" w:cs="Times New Roman"/>
                <w:i/>
                <w:iCs/>
                <w:sz w:val="24"/>
                <w:szCs w:val="24"/>
                <w:lang w:eastAsia="bg-BG"/>
              </w:rPr>
            </w:pPr>
            <w:r w:rsidRPr="006E455D">
              <w:rPr>
                <w:rFonts w:ascii="Times New Roman" w:hAnsi="Times New Roman" w:cs="Times New Roman"/>
                <w:i/>
                <w:iCs/>
                <w:sz w:val="24"/>
                <w:szCs w:val="24"/>
                <w:lang w:eastAsia="bg-BG"/>
              </w:rPr>
              <w:t>г)</w:t>
            </w:r>
          </w:p>
        </w:tc>
        <w:tc>
          <w:tcPr>
            <w:tcW w:w="0" w:type="auto"/>
          </w:tcPr>
          <w:p w:rsidR="00AB5C99" w:rsidRPr="006E455D" w:rsidRDefault="00AB5C99" w:rsidP="006E455D">
            <w:pPr>
              <w:spacing w:before="100" w:beforeAutospacing="1" w:after="100" w:afterAutospacing="1" w:line="240" w:lineRule="auto"/>
              <w:rPr>
                <w:rFonts w:ascii="Times New Roman" w:hAnsi="Times New Roman" w:cs="Times New Roman"/>
                <w:i/>
                <w:iCs/>
                <w:sz w:val="24"/>
                <w:szCs w:val="24"/>
                <w:lang w:eastAsia="bg-BG"/>
              </w:rPr>
            </w:pPr>
            <w:r w:rsidRPr="006E455D">
              <w:rPr>
                <w:rFonts w:ascii="Times New Roman" w:hAnsi="Times New Roman" w:cs="Times New Roman"/>
                <w:i/>
                <w:iCs/>
                <w:sz w:val="24"/>
                <w:szCs w:val="24"/>
                <w:lang w:eastAsia="bg-BG"/>
              </w:rPr>
              <w:t>случайно унищожение на постройките за животни на стопанството;</w:t>
            </w:r>
          </w:p>
        </w:tc>
      </w:tr>
    </w:tbl>
    <w:p w:rsidR="00AB5C99" w:rsidRPr="006E455D" w:rsidRDefault="00AB5C99" w:rsidP="006E455D">
      <w:pPr>
        <w:spacing w:after="0" w:line="240" w:lineRule="auto"/>
        <w:rPr>
          <w:rFonts w:ascii="Times New Roman" w:hAnsi="Times New Roman" w:cs="Times New Roman"/>
          <w:i/>
          <w:iCs/>
          <w:vanish/>
          <w:sz w:val="24"/>
          <w:szCs w:val="24"/>
          <w:lang w:eastAsia="bg-BG"/>
        </w:rPr>
      </w:pPr>
    </w:p>
    <w:tbl>
      <w:tblPr>
        <w:tblW w:w="5000" w:type="pct"/>
        <w:tblCellSpacing w:w="0" w:type="dxa"/>
        <w:tblInd w:w="2" w:type="dxa"/>
        <w:tblCellMar>
          <w:left w:w="0" w:type="dxa"/>
          <w:right w:w="0" w:type="dxa"/>
        </w:tblCellMar>
        <w:tblLook w:val="00A0" w:firstRow="1" w:lastRow="0" w:firstColumn="1" w:lastColumn="0" w:noHBand="0" w:noVBand="0"/>
      </w:tblPr>
      <w:tblGrid>
        <w:gridCol w:w="202"/>
        <w:gridCol w:w="9862"/>
      </w:tblGrid>
      <w:tr w:rsidR="00AB5C99" w:rsidRPr="006E455D">
        <w:trPr>
          <w:tblCellSpacing w:w="0" w:type="dxa"/>
        </w:trPr>
        <w:tc>
          <w:tcPr>
            <w:tcW w:w="0" w:type="auto"/>
          </w:tcPr>
          <w:p w:rsidR="00AB5C99" w:rsidRPr="006E455D" w:rsidRDefault="00AB5C99" w:rsidP="006E455D">
            <w:pPr>
              <w:spacing w:before="100" w:beforeAutospacing="1" w:after="100" w:afterAutospacing="1" w:line="240" w:lineRule="auto"/>
              <w:rPr>
                <w:rFonts w:ascii="Times New Roman" w:hAnsi="Times New Roman" w:cs="Times New Roman"/>
                <w:i/>
                <w:iCs/>
                <w:sz w:val="24"/>
                <w:szCs w:val="24"/>
                <w:lang w:eastAsia="bg-BG"/>
              </w:rPr>
            </w:pPr>
            <w:r w:rsidRPr="006E455D">
              <w:rPr>
                <w:rFonts w:ascii="Times New Roman" w:hAnsi="Times New Roman" w:cs="Times New Roman"/>
                <w:i/>
                <w:iCs/>
                <w:sz w:val="24"/>
                <w:szCs w:val="24"/>
                <w:lang w:eastAsia="bg-BG"/>
              </w:rPr>
              <w:t>д)</w:t>
            </w:r>
          </w:p>
        </w:tc>
        <w:tc>
          <w:tcPr>
            <w:tcW w:w="0" w:type="auto"/>
          </w:tcPr>
          <w:p w:rsidR="00AB5C99" w:rsidRPr="006E455D" w:rsidRDefault="00AB5C99" w:rsidP="006E455D">
            <w:pPr>
              <w:spacing w:before="100" w:beforeAutospacing="1" w:after="100" w:afterAutospacing="1" w:line="240" w:lineRule="auto"/>
              <w:rPr>
                <w:rFonts w:ascii="Times New Roman" w:hAnsi="Times New Roman" w:cs="Times New Roman"/>
                <w:i/>
                <w:iCs/>
                <w:sz w:val="24"/>
                <w:szCs w:val="24"/>
                <w:lang w:eastAsia="bg-BG"/>
              </w:rPr>
            </w:pPr>
            <w:r w:rsidRPr="006E455D">
              <w:rPr>
                <w:rFonts w:ascii="Times New Roman" w:hAnsi="Times New Roman" w:cs="Times New Roman"/>
                <w:i/>
                <w:iCs/>
                <w:sz w:val="24"/>
                <w:szCs w:val="24"/>
                <w:lang w:eastAsia="bg-BG"/>
              </w:rPr>
              <w:t xml:space="preserve">епизоотия или болест по растенията, която е засегнала съответно част или всички селскостопански животни или земеделски култури на </w:t>
            </w:r>
            <w:proofErr w:type="spellStart"/>
            <w:r w:rsidRPr="006E455D">
              <w:rPr>
                <w:rFonts w:ascii="Times New Roman" w:hAnsi="Times New Roman" w:cs="Times New Roman"/>
                <w:i/>
                <w:iCs/>
                <w:sz w:val="24"/>
                <w:szCs w:val="24"/>
                <w:lang w:eastAsia="bg-BG"/>
              </w:rPr>
              <w:t>бенефециера</w:t>
            </w:r>
            <w:proofErr w:type="spellEnd"/>
            <w:r w:rsidRPr="006E455D">
              <w:rPr>
                <w:rFonts w:ascii="Times New Roman" w:hAnsi="Times New Roman" w:cs="Times New Roman"/>
                <w:i/>
                <w:iCs/>
                <w:sz w:val="24"/>
                <w:szCs w:val="24"/>
                <w:lang w:eastAsia="bg-BG"/>
              </w:rPr>
              <w:t>;</w:t>
            </w:r>
          </w:p>
        </w:tc>
      </w:tr>
    </w:tbl>
    <w:p w:rsidR="00AB5C99" w:rsidRPr="006E455D" w:rsidRDefault="00AB5C99" w:rsidP="006E455D">
      <w:pPr>
        <w:spacing w:after="0" w:line="240" w:lineRule="auto"/>
        <w:rPr>
          <w:rFonts w:ascii="Times New Roman" w:hAnsi="Times New Roman" w:cs="Times New Roman"/>
          <w:i/>
          <w:iCs/>
          <w:vanish/>
          <w:sz w:val="24"/>
          <w:szCs w:val="24"/>
          <w:lang w:eastAsia="bg-BG"/>
        </w:rPr>
      </w:pPr>
    </w:p>
    <w:tbl>
      <w:tblPr>
        <w:tblW w:w="5000" w:type="pct"/>
        <w:tblCellSpacing w:w="0" w:type="dxa"/>
        <w:tblInd w:w="2" w:type="dxa"/>
        <w:tblCellMar>
          <w:left w:w="0" w:type="dxa"/>
          <w:right w:w="0" w:type="dxa"/>
        </w:tblCellMar>
        <w:tblLook w:val="00A0" w:firstRow="1" w:lastRow="0" w:firstColumn="1" w:lastColumn="0" w:noHBand="0" w:noVBand="0"/>
      </w:tblPr>
      <w:tblGrid>
        <w:gridCol w:w="187"/>
        <w:gridCol w:w="9877"/>
      </w:tblGrid>
      <w:tr w:rsidR="00AB5C99" w:rsidRPr="006E455D">
        <w:trPr>
          <w:tblCellSpacing w:w="0" w:type="dxa"/>
        </w:trPr>
        <w:tc>
          <w:tcPr>
            <w:tcW w:w="0" w:type="auto"/>
          </w:tcPr>
          <w:p w:rsidR="00AB5C99" w:rsidRPr="006E455D" w:rsidRDefault="00AB5C99" w:rsidP="006E455D">
            <w:pPr>
              <w:spacing w:before="100" w:beforeAutospacing="1" w:after="100" w:afterAutospacing="1" w:line="240" w:lineRule="auto"/>
              <w:rPr>
                <w:rFonts w:ascii="Times New Roman" w:hAnsi="Times New Roman" w:cs="Times New Roman"/>
                <w:i/>
                <w:iCs/>
                <w:sz w:val="24"/>
                <w:szCs w:val="24"/>
                <w:lang w:eastAsia="bg-BG"/>
              </w:rPr>
            </w:pPr>
            <w:r w:rsidRPr="006E455D">
              <w:rPr>
                <w:rFonts w:ascii="Times New Roman" w:hAnsi="Times New Roman" w:cs="Times New Roman"/>
                <w:i/>
                <w:iCs/>
                <w:sz w:val="24"/>
                <w:szCs w:val="24"/>
                <w:lang w:eastAsia="bg-BG"/>
              </w:rPr>
              <w:t>е)</w:t>
            </w:r>
          </w:p>
        </w:tc>
        <w:tc>
          <w:tcPr>
            <w:tcW w:w="0" w:type="auto"/>
          </w:tcPr>
          <w:p w:rsidR="00AB5C99" w:rsidRPr="006E455D" w:rsidRDefault="00AB5C99" w:rsidP="006E455D">
            <w:pPr>
              <w:spacing w:before="100" w:beforeAutospacing="1" w:after="100" w:afterAutospacing="1" w:line="240" w:lineRule="auto"/>
              <w:rPr>
                <w:rFonts w:ascii="Times New Roman" w:hAnsi="Times New Roman" w:cs="Times New Roman"/>
                <w:i/>
                <w:iCs/>
                <w:sz w:val="24"/>
                <w:szCs w:val="24"/>
                <w:lang w:eastAsia="bg-BG"/>
              </w:rPr>
            </w:pPr>
            <w:r w:rsidRPr="006E455D">
              <w:rPr>
                <w:rFonts w:ascii="Times New Roman" w:hAnsi="Times New Roman" w:cs="Times New Roman"/>
                <w:i/>
                <w:iCs/>
                <w:sz w:val="24"/>
                <w:szCs w:val="24"/>
                <w:lang w:eastAsia="bg-BG"/>
              </w:rPr>
              <w:t>отчуждаване на цялото стопанство или на голяма част от стопанството, ако това отчуждаване не е могло да бъде предвидено към деня на подаване на заявлението.</w:t>
            </w:r>
          </w:p>
        </w:tc>
      </w:tr>
    </w:tbl>
    <w:p w:rsidR="00AB5C99" w:rsidRDefault="00AB5C99" w:rsidP="008B44BB">
      <w:pPr>
        <w:widowControl w:val="0"/>
        <w:autoSpaceDE w:val="0"/>
        <w:autoSpaceDN w:val="0"/>
        <w:adjustRightInd w:val="0"/>
        <w:jc w:val="both"/>
        <w:rPr>
          <w:rFonts w:ascii="Times New Roman" w:hAnsi="Times New Roman" w:cs="Times New Roman"/>
          <w:sz w:val="24"/>
          <w:szCs w:val="24"/>
        </w:rPr>
      </w:pP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31. "Непреработена растителна и животинска продукция" е всеки първичен продукт, получен от растенията и животните, който се използва в естествен вид, без да е подлаган на технологична обработка или преработка, в резултат на която да са настъпили физико-химични изменения.</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32. "Нередност" е всяко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33. "Новообразувани предприятия" са предприятия по смисъла на Закона за малките и средните предприятия.</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34. "Оперативни разходи" са административните разходи и разходите, свързани с поддръжка и експлоатация на активите.</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35. "Организации и/или групи на земеделски производители" са организациите и/или групите, признати от </w:t>
      </w:r>
      <w:r w:rsidRPr="007E55FC">
        <w:rPr>
          <w:rFonts w:ascii="Times New Roman" w:hAnsi="Times New Roman" w:cs="Times New Roman"/>
          <w:sz w:val="24"/>
          <w:szCs w:val="24"/>
        </w:rPr>
        <w:t>министъра на земеделието, храните и горите</w:t>
      </w:r>
      <w:r>
        <w:rPr>
          <w:rFonts w:ascii="Times New Roman" w:hAnsi="Times New Roman" w:cs="Times New Roman"/>
          <w:sz w:val="24"/>
          <w:szCs w:val="24"/>
        </w:rPr>
        <w:t>.</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36. "Обособена част от инвестицията" е завършен етап на изпълнение на инвестицията, който е обособен и е доведен до самостоятелна степен на завършеност.</w:t>
      </w:r>
    </w:p>
    <w:p w:rsidR="00AB5C99" w:rsidRPr="004A7771" w:rsidRDefault="00AB5C99" w:rsidP="008B44BB">
      <w:pPr>
        <w:widowControl w:val="0"/>
        <w:autoSpaceDE w:val="0"/>
        <w:autoSpaceDN w:val="0"/>
        <w:adjustRightInd w:val="0"/>
        <w:jc w:val="both"/>
        <w:rPr>
          <w:rFonts w:ascii="Times New Roman" w:hAnsi="Times New Roman" w:cs="Times New Roman"/>
          <w:sz w:val="24"/>
          <w:szCs w:val="24"/>
        </w:rPr>
      </w:pPr>
      <w:r w:rsidRPr="00F65DA3">
        <w:rPr>
          <w:rFonts w:ascii="Times New Roman" w:hAnsi="Times New Roman" w:cs="Times New Roman"/>
          <w:sz w:val="24"/>
          <w:szCs w:val="24"/>
        </w:rPr>
        <w:t xml:space="preserve">37. „Основни земеделски суровини” – са </w:t>
      </w:r>
      <w:r>
        <w:rPr>
          <w:rFonts w:ascii="Times New Roman" w:hAnsi="Times New Roman" w:cs="Times New Roman"/>
          <w:sz w:val="24"/>
          <w:szCs w:val="24"/>
        </w:rPr>
        <w:t xml:space="preserve">селскостопански продукти, включени в Приложение № </w:t>
      </w:r>
      <w:r>
        <w:rPr>
          <w:rFonts w:ascii="Times New Roman" w:hAnsi="Times New Roman" w:cs="Times New Roman"/>
          <w:sz w:val="24"/>
          <w:szCs w:val="24"/>
          <w:lang w:val="en-US"/>
        </w:rPr>
        <w:t>I</w:t>
      </w:r>
      <w:r w:rsidRPr="00C006BC">
        <w:rPr>
          <w:rFonts w:ascii="Times New Roman" w:hAnsi="Times New Roman" w:cs="Times New Roman"/>
          <w:sz w:val="24"/>
          <w:szCs w:val="24"/>
          <w:lang w:val="ru-RU"/>
        </w:rPr>
        <w:t xml:space="preserve"> </w:t>
      </w:r>
      <w:r>
        <w:rPr>
          <w:rFonts w:ascii="Times New Roman" w:hAnsi="Times New Roman" w:cs="Times New Roman"/>
          <w:sz w:val="24"/>
          <w:szCs w:val="24"/>
        </w:rPr>
        <w:t>към Договора за функциониране на ЕС</w:t>
      </w:r>
      <w:r w:rsidRPr="00F65DA3">
        <w:rPr>
          <w:rFonts w:ascii="Times New Roman" w:hAnsi="Times New Roman" w:cs="Times New Roman"/>
          <w:sz w:val="24"/>
          <w:szCs w:val="24"/>
        </w:rPr>
        <w:t>.</w:t>
      </w:r>
      <w:r w:rsidRPr="004A7771">
        <w:rPr>
          <w:rFonts w:ascii="Times New Roman" w:hAnsi="Times New Roman" w:cs="Times New Roman"/>
          <w:sz w:val="24"/>
          <w:szCs w:val="24"/>
        </w:rPr>
        <w:t xml:space="preserve"> </w:t>
      </w:r>
    </w:p>
    <w:p w:rsidR="00AB5C99" w:rsidRDefault="00AB5C99" w:rsidP="008B44BB">
      <w:pPr>
        <w:widowControl w:val="0"/>
        <w:autoSpaceDE w:val="0"/>
        <w:autoSpaceDN w:val="0"/>
        <w:adjustRightInd w:val="0"/>
        <w:jc w:val="both"/>
        <w:rPr>
          <w:rFonts w:ascii="Times New Roman" w:hAnsi="Times New Roman" w:cs="Times New Roman"/>
          <w:sz w:val="24"/>
          <w:szCs w:val="24"/>
        </w:rPr>
      </w:pPr>
      <w:r w:rsidRPr="004A7771">
        <w:rPr>
          <w:rFonts w:ascii="Times New Roman" w:hAnsi="Times New Roman" w:cs="Times New Roman"/>
          <w:sz w:val="24"/>
          <w:szCs w:val="24"/>
        </w:rPr>
        <w:t>38. "Пазар</w:t>
      </w:r>
      <w:r>
        <w:rPr>
          <w:rFonts w:ascii="Times New Roman" w:hAnsi="Times New Roman" w:cs="Times New Roman"/>
          <w:sz w:val="24"/>
          <w:szCs w:val="24"/>
        </w:rPr>
        <w:t xml:space="preserve"> на производител" е място по смисъла на Закона за стоковите борси и тържищата.</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39. "Полезна топлоенергия" е понятие по смисъла на Директива 2004/8/ЕО на Европейския парламент и на Съвета от 11 февруари 2004 г. относно насърчаване на комбинираното производство на енергия, основаващо се на търсенето на полезна топлоенергия във вътрешния енергиен пазар и за изменение на Директива 92/42/ЕИО.</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40. "</w:t>
      </w:r>
      <w:proofErr w:type="spellStart"/>
      <w:r>
        <w:rPr>
          <w:rFonts w:ascii="Times New Roman" w:hAnsi="Times New Roman" w:cs="Times New Roman"/>
          <w:sz w:val="24"/>
          <w:szCs w:val="24"/>
        </w:rPr>
        <w:t>Подмярка</w:t>
      </w:r>
      <w:proofErr w:type="spellEnd"/>
      <w:r>
        <w:rPr>
          <w:rFonts w:ascii="Times New Roman" w:hAnsi="Times New Roman" w:cs="Times New Roman"/>
          <w:sz w:val="24"/>
          <w:szCs w:val="24"/>
        </w:rPr>
        <w:t xml:space="preserve">" е съвкупност от дейности, спомагащи за прилагане приоритетите на ПРСР 2014 – 2020 г. </w:t>
      </w:r>
    </w:p>
    <w:p w:rsidR="00AB5C99" w:rsidRPr="00BD656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41</w:t>
      </w:r>
      <w:r w:rsidRPr="00671934">
        <w:rPr>
          <w:rFonts w:ascii="Times New Roman" w:hAnsi="Times New Roman" w:cs="Times New Roman"/>
          <w:sz w:val="24"/>
          <w:szCs w:val="24"/>
        </w:rPr>
        <w:t>. „Подготовката на продукцията за продажба“ включва една или комбинация от дейности, свързани с почистването, подготовката за съхранение, съхранението, сортирането, маркирането, опаковането и транспортирането на земеделски продукти.</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42. "Преработка на селскостопански продукти" е всяко обработване и технологично въздействие на селскостопански продукт, в резултат на което се получава продукт, който също е селскостопански продукт, с изключение на дейностите, извършвани в стопанството, необходими за приготвяне на животински или растителен продукт за първа продажба. </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43. "Принос в натура" е предоставяне на земя или друг недвижим имот, оборудване или </w:t>
      </w:r>
      <w:r>
        <w:rPr>
          <w:rFonts w:ascii="Times New Roman" w:hAnsi="Times New Roman" w:cs="Times New Roman"/>
          <w:sz w:val="24"/>
          <w:szCs w:val="24"/>
        </w:rPr>
        <w:lastRenderedPageBreak/>
        <w:t>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44</w:t>
      </w:r>
      <w:r w:rsidRPr="00671934">
        <w:rPr>
          <w:rFonts w:ascii="Times New Roman" w:hAnsi="Times New Roman" w:cs="Times New Roman"/>
          <w:sz w:val="24"/>
          <w:szCs w:val="24"/>
        </w:rPr>
        <w:t xml:space="preserve">. „Процентът на приходите на кандидата за предходните три финансови години от реализиран износ и/или вътрешно-общностни доставки“ се изчислява като съотношение между приходите от износ и </w:t>
      </w:r>
      <w:proofErr w:type="spellStart"/>
      <w:r w:rsidRPr="00671934">
        <w:rPr>
          <w:rFonts w:ascii="Times New Roman" w:hAnsi="Times New Roman" w:cs="Times New Roman"/>
          <w:sz w:val="24"/>
          <w:szCs w:val="24"/>
        </w:rPr>
        <w:t>вътрешнообщностни</w:t>
      </w:r>
      <w:proofErr w:type="spellEnd"/>
      <w:r w:rsidRPr="00671934">
        <w:rPr>
          <w:rFonts w:ascii="Times New Roman" w:hAnsi="Times New Roman" w:cs="Times New Roman"/>
          <w:sz w:val="24"/>
          <w:szCs w:val="24"/>
        </w:rPr>
        <w:t xml:space="preserve"> доставки на произведени или преработени селскостопански продукти спрямо общите приходи</w:t>
      </w:r>
      <w:r>
        <w:rPr>
          <w:rFonts w:ascii="Times New Roman" w:hAnsi="Times New Roman" w:cs="Times New Roman"/>
          <w:sz w:val="24"/>
          <w:szCs w:val="24"/>
        </w:rPr>
        <w:t xml:space="preserve"> от продукция</w:t>
      </w:r>
      <w:r w:rsidRPr="00671934">
        <w:rPr>
          <w:rFonts w:ascii="Times New Roman" w:hAnsi="Times New Roman" w:cs="Times New Roman"/>
          <w:sz w:val="24"/>
          <w:szCs w:val="24"/>
        </w:rPr>
        <w:t xml:space="preserve"> за последните три финансови години преди годината на публикуване на обявата за откриване на процедура чрез подбор.</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45. "Продукти, имитиращи или заместващи мляко и/или млечни произведения" са продукти, които могат да бъдат взети за мляко и/или млечни произведения, но чийто състав се различава от тези произведения по това, че съдържа мазнини и/или протеини от немлечен произход със или без протеин, получен от мляко ("Продукти, различни от млечни произведения", както са посочени в чл. 3, параграф 2 от Регламент (ЕИО) № 1898/87 на Съвета от 2 юли 1987 г. относно закрила на наименованията, използвани в търговията с мляко и млечни продукти (ОВ, L 182 от 3 юли 1987 г.).</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46. "Продукти, наподобяващи или заместващи пчелен мед и/или пчелни продукти" са такива по смисъла на Закона за пчеларството.</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47. "Проверка на място" е проверка по смисъла на Регламент (ЕС) № 809/2014.</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48. "Проект" е </w:t>
      </w:r>
      <w:r w:rsidRPr="00671934">
        <w:rPr>
          <w:rFonts w:ascii="Times New Roman" w:hAnsi="Times New Roman" w:cs="Times New Roman"/>
          <w:sz w:val="24"/>
          <w:szCs w:val="24"/>
        </w:rPr>
        <w:t>проектно предложение</w:t>
      </w:r>
      <w:r w:rsidRPr="00671934" w:rsidDel="00671934">
        <w:rPr>
          <w:rFonts w:ascii="Times New Roman" w:hAnsi="Times New Roman" w:cs="Times New Roman"/>
          <w:sz w:val="24"/>
          <w:szCs w:val="24"/>
        </w:rPr>
        <w:t xml:space="preserve"> </w:t>
      </w:r>
      <w:r>
        <w:rPr>
          <w:rFonts w:ascii="Times New Roman" w:hAnsi="Times New Roman" w:cs="Times New Roman"/>
          <w:sz w:val="24"/>
          <w:szCs w:val="24"/>
        </w:rPr>
        <w:t>заедно с всички приложени към него документи, както и съвкупността от материални и нематериални активи и свързаните с тях разходи, заявени от кандидата и допустими за финансиране по ПРСР 2014 – 2020 г.</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49. "Публична финансова помощ" е 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по смисъла на Директива 2004/18/EО на Европейския парламент и на Съвета от 31 март 2004 г. относно координирането на процедурите за възлагане на обществени поръчки за строителство, доставки и услуги, ще се разглежда като обществен дял.</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50. "Първично селскостопанско производство" е производство на растителните и животинските продукти, изброени в Приложение № I по чл. 38 от Договора за функционирането на Европейския съюз, без да се извършват никакви по-нататъшни операции, с които се променя естеството на тези продукти.</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51. "Разходи за консултантски услуги, свързани с подготовка и управление на проекта" са разходи, извършени преди подаване на </w:t>
      </w:r>
      <w:r w:rsidRPr="004B42D4">
        <w:rPr>
          <w:rFonts w:ascii="Times New Roman" w:hAnsi="Times New Roman" w:cs="Times New Roman"/>
          <w:sz w:val="24"/>
          <w:szCs w:val="24"/>
        </w:rPr>
        <w:t>проектното предложение</w:t>
      </w:r>
      <w:r>
        <w:rPr>
          <w:rFonts w:ascii="Times New Roman" w:hAnsi="Times New Roman" w:cs="Times New Roman"/>
          <w:sz w:val="24"/>
          <w:szCs w:val="24"/>
        </w:rPr>
        <w:t xml:space="preserve"> и такива по време на изпълнение на проекта, които задължително включват подготовка на проектно предложение, изработка на бизнес план, анализ за икономическа устойчивост на проекта и подготовка на заявки за плащане, включително отчитане и управление на проекта.</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52. "Разходи за </w:t>
      </w:r>
      <w:proofErr w:type="spellStart"/>
      <w:r>
        <w:rPr>
          <w:rFonts w:ascii="Times New Roman" w:hAnsi="Times New Roman" w:cs="Times New Roman"/>
          <w:sz w:val="24"/>
          <w:szCs w:val="24"/>
        </w:rPr>
        <w:t>предпроектно</w:t>
      </w:r>
      <w:proofErr w:type="spellEnd"/>
      <w:r>
        <w:rPr>
          <w:rFonts w:ascii="Times New Roman" w:hAnsi="Times New Roman" w:cs="Times New Roman"/>
          <w:sz w:val="24"/>
          <w:szCs w:val="24"/>
        </w:rPr>
        <w:t xml:space="preserve"> проучване" са разходите за анализите по </w:t>
      </w:r>
      <w:r w:rsidRPr="00E34E7B">
        <w:rPr>
          <w:rFonts w:ascii="Times New Roman" w:hAnsi="Times New Roman" w:cs="Times New Roman"/>
          <w:sz w:val="24"/>
          <w:szCs w:val="24"/>
        </w:rPr>
        <w:t>т. 31 от Раздел 13.2 „</w:t>
      </w:r>
      <w:r w:rsidRPr="004A5A85">
        <w:rPr>
          <w:rFonts w:ascii="Times New Roman" w:hAnsi="Times New Roman" w:cs="Times New Roman"/>
          <w:sz w:val="24"/>
          <w:szCs w:val="24"/>
        </w:rPr>
        <w:t>Условия за допустимост на дейностите“</w:t>
      </w:r>
      <w:r>
        <w:rPr>
          <w:rFonts w:ascii="Times New Roman" w:hAnsi="Times New Roman" w:cs="Times New Roman"/>
          <w:sz w:val="24"/>
          <w:szCs w:val="24"/>
        </w:rPr>
        <w:t>, становища и доклади, изготвени от правоспособни лица и представени от кандидата за доказване на техническа осъществимост на проекта, и доклади за екологична устойчивост на проекта.</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53. "Разходи за инвестиции за обикновена подмяна" са разходи за замяна на активи, които не </w:t>
      </w:r>
      <w:r>
        <w:rPr>
          <w:rFonts w:ascii="Times New Roman" w:hAnsi="Times New Roman" w:cs="Times New Roman"/>
          <w:sz w:val="24"/>
          <w:szCs w:val="24"/>
        </w:rPr>
        <w:lastRenderedPageBreak/>
        <w:t>водят до подобряване на цялостната дейност на кандидата.</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54. "Рефинансиране на лихви" е възстановяване на извършените разходи за лихви по заеми.</w:t>
      </w:r>
    </w:p>
    <w:p w:rsidR="00AB5C99" w:rsidRPr="001553A3"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55. "Референтни разходи" са цени и пределни стойности, ползвани от РА за сравняване при определяне основателността на разходите за различни инвестиции.</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56. "Селскостопански продукти" са продуктите, изброени в Приложение № I от Договора, с изключение на продуктите от риболов и </w:t>
      </w:r>
      <w:proofErr w:type="spellStart"/>
      <w:r>
        <w:rPr>
          <w:rFonts w:ascii="Times New Roman" w:hAnsi="Times New Roman" w:cs="Times New Roman"/>
          <w:sz w:val="24"/>
          <w:szCs w:val="24"/>
        </w:rPr>
        <w:t>аквакултури</w:t>
      </w:r>
      <w:proofErr w:type="spellEnd"/>
      <w:r>
        <w:rPr>
          <w:rFonts w:ascii="Times New Roman" w:hAnsi="Times New Roman" w:cs="Times New Roman"/>
          <w:sz w:val="24"/>
          <w:szCs w:val="24"/>
        </w:rPr>
        <w:t xml:space="preserve">, изброени в Приложение I към Регламент (ЕС) № 1379/2013 на Европейския парламент и на Съвета от 11 декември 2013 г. относно общата организация на пазарите на продукти от риболов и </w:t>
      </w:r>
      <w:proofErr w:type="spellStart"/>
      <w:r>
        <w:rPr>
          <w:rFonts w:ascii="Times New Roman" w:hAnsi="Times New Roman" w:cs="Times New Roman"/>
          <w:sz w:val="24"/>
          <w:szCs w:val="24"/>
        </w:rPr>
        <w:t>аквакултури</w:t>
      </w:r>
      <w:proofErr w:type="spellEnd"/>
      <w:r>
        <w:rPr>
          <w:rFonts w:ascii="Times New Roman" w:hAnsi="Times New Roman" w:cs="Times New Roman"/>
          <w:sz w:val="24"/>
          <w:szCs w:val="24"/>
        </w:rPr>
        <w:t>, за изменение на регламенти (ЕО) № 1184/2006 и (ЕО) № 1224/2009 на Съвета и за отмяна на Регламент (ЕО) № 104/2000 на Съвета (ОВ, L 354/1 от 28 декември 2013 г.).</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57. "Специализирани транспортни средства" са транспортни средства с постоянно монтирана апаратура, съоръжения или машини, които не позволяват използването им за други цели.</w:t>
      </w:r>
    </w:p>
    <w:p w:rsidR="00AB5C99" w:rsidRPr="004A7771" w:rsidRDefault="00AB5C99" w:rsidP="001553A3">
      <w:pPr>
        <w:spacing w:after="0" w:line="240" w:lineRule="auto"/>
        <w:jc w:val="both"/>
        <w:rPr>
          <w:rFonts w:ascii="Times New Roman" w:hAnsi="Times New Roman" w:cs="Times New Roman"/>
          <w:color w:val="000000"/>
          <w:sz w:val="24"/>
          <w:szCs w:val="24"/>
        </w:rPr>
      </w:pPr>
      <w:r w:rsidRPr="004A7771">
        <w:rPr>
          <w:rFonts w:ascii="Times New Roman" w:hAnsi="Times New Roman" w:cs="Times New Roman"/>
          <w:color w:val="000000"/>
          <w:sz w:val="24"/>
          <w:szCs w:val="24"/>
        </w:rPr>
        <w:t>58. „Срок за мониторинг“ е:</w:t>
      </w:r>
    </w:p>
    <w:p w:rsidR="00AB5C99" w:rsidRPr="004A7771" w:rsidRDefault="00AB5C99" w:rsidP="001553A3">
      <w:pPr>
        <w:spacing w:after="0" w:line="240" w:lineRule="auto"/>
        <w:jc w:val="both"/>
        <w:rPr>
          <w:rFonts w:ascii="Times New Roman" w:hAnsi="Times New Roman" w:cs="Times New Roman"/>
          <w:color w:val="000000"/>
          <w:sz w:val="24"/>
          <w:szCs w:val="24"/>
          <w:highlight w:val="white"/>
          <w:shd w:val="clear" w:color="auto" w:fill="FEFEFE"/>
        </w:rPr>
      </w:pPr>
      <w:r w:rsidRPr="004A7771">
        <w:rPr>
          <w:rFonts w:ascii="Times New Roman" w:hAnsi="Times New Roman" w:cs="Times New Roman"/>
          <w:color w:val="000000"/>
          <w:sz w:val="24"/>
          <w:szCs w:val="24"/>
        </w:rPr>
        <w:t>а) три години от датата на получаване на окончателно плащане – за бенефициенти</w:t>
      </w:r>
      <w:r w:rsidRPr="004A7771">
        <w:rPr>
          <w:rFonts w:ascii="Times New Roman" w:hAnsi="Times New Roman" w:cs="Times New Roman"/>
          <w:color w:val="000000"/>
          <w:sz w:val="24"/>
          <w:szCs w:val="24"/>
          <w:highlight w:val="white"/>
          <w:shd w:val="clear" w:color="auto" w:fill="FEFEFE"/>
        </w:rPr>
        <w:t xml:space="preserve">, които са </w:t>
      </w:r>
      <w:proofErr w:type="spellStart"/>
      <w:r w:rsidRPr="004A7771">
        <w:rPr>
          <w:rFonts w:ascii="Times New Roman" w:hAnsi="Times New Roman" w:cs="Times New Roman"/>
          <w:color w:val="000000"/>
          <w:sz w:val="24"/>
          <w:szCs w:val="24"/>
          <w:highlight w:val="white"/>
          <w:shd w:val="clear" w:color="auto" w:fill="FEFEFE"/>
        </w:rPr>
        <w:t>микро</w:t>
      </w:r>
      <w:proofErr w:type="spellEnd"/>
      <w:r w:rsidRPr="004A7771">
        <w:rPr>
          <w:rFonts w:ascii="Times New Roman" w:hAnsi="Times New Roman" w:cs="Times New Roman"/>
          <w:color w:val="000000"/>
          <w:sz w:val="24"/>
          <w:szCs w:val="24"/>
          <w:highlight w:val="white"/>
          <w:shd w:val="clear" w:color="auto" w:fill="FEFEFE"/>
        </w:rPr>
        <w:t>-, малки или средни предприятия по смисъла на чл. 3 от Закона за малките и средните предприятия;</w:t>
      </w:r>
    </w:p>
    <w:p w:rsidR="00AB5C99" w:rsidRDefault="00AB5C99" w:rsidP="001553A3">
      <w:pPr>
        <w:spacing w:line="240" w:lineRule="auto"/>
        <w:jc w:val="both"/>
        <w:rPr>
          <w:rFonts w:ascii="Times New Roman" w:hAnsi="Times New Roman" w:cs="Times New Roman"/>
          <w:color w:val="000000"/>
          <w:sz w:val="24"/>
          <w:szCs w:val="24"/>
          <w:highlight w:val="white"/>
          <w:shd w:val="clear" w:color="auto" w:fill="FEFEFE"/>
        </w:rPr>
      </w:pPr>
      <w:r w:rsidRPr="004A7771">
        <w:rPr>
          <w:rFonts w:ascii="Times New Roman" w:hAnsi="Times New Roman" w:cs="Times New Roman"/>
          <w:color w:val="000000"/>
          <w:sz w:val="24"/>
          <w:szCs w:val="24"/>
          <w:highlight w:val="white"/>
          <w:shd w:val="clear" w:color="auto" w:fill="FEFEFE"/>
        </w:rPr>
        <w:t>б) пет години от датата на получаване на окончателно плащане - за бенефициенти, които са големи предприятия.</w:t>
      </w:r>
    </w:p>
    <w:p w:rsidR="00AB5C99" w:rsidRPr="0055465A" w:rsidRDefault="00AB5C99" w:rsidP="0055465A">
      <w:pPr>
        <w:spacing w:line="240" w:lineRule="auto"/>
        <w:jc w:val="both"/>
        <w:rPr>
          <w:rFonts w:ascii="Times New Roman" w:hAnsi="Times New Roman" w:cs="Times New Roman"/>
          <w:b/>
          <w:bCs/>
          <w:sz w:val="24"/>
          <w:szCs w:val="24"/>
          <w:lang w:eastAsia="bg-BG"/>
        </w:rPr>
      </w:pPr>
      <w:r w:rsidRPr="0055465A">
        <w:rPr>
          <w:rFonts w:ascii="Times New Roman" w:hAnsi="Times New Roman" w:cs="Times New Roman"/>
          <w:b/>
          <w:bCs/>
          <w:color w:val="000000"/>
          <w:sz w:val="24"/>
          <w:szCs w:val="24"/>
          <w:highlight w:val="white"/>
          <w:shd w:val="clear" w:color="auto" w:fill="FEFEFE"/>
        </w:rPr>
        <w:t>в</w:t>
      </w:r>
      <w:r w:rsidRPr="002259CC">
        <w:rPr>
          <w:rFonts w:ascii="Times New Roman" w:hAnsi="Times New Roman" w:cs="Times New Roman"/>
          <w:b/>
          <w:bCs/>
          <w:color w:val="000000"/>
          <w:sz w:val="24"/>
          <w:szCs w:val="24"/>
          <w:highlight w:val="white"/>
          <w:shd w:val="clear" w:color="auto" w:fill="FEFEFE"/>
          <w:lang w:val="ru-RU"/>
        </w:rPr>
        <w:t>)</w:t>
      </w:r>
      <w:r w:rsidRPr="0055465A">
        <w:rPr>
          <w:rFonts w:ascii="Verdana" w:hAnsi="Verdana" w:cs="Verdana"/>
          <w:b/>
          <w:bCs/>
          <w:color w:val="FF0000"/>
          <w:lang w:eastAsia="bg-BG"/>
        </w:rPr>
        <w:t xml:space="preserve"> </w:t>
      </w:r>
      <w:r w:rsidRPr="0055465A">
        <w:rPr>
          <w:rFonts w:ascii="Times New Roman" w:hAnsi="Times New Roman" w:cs="Times New Roman"/>
          <w:b/>
          <w:bCs/>
          <w:sz w:val="24"/>
          <w:szCs w:val="24"/>
          <w:lang w:eastAsia="bg-BG"/>
        </w:rPr>
        <w:t>десет години от датата на сключване на договора, когато е предоставена държавна или минимална помощ;</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59. "Стандартен производствен обем" е стойността на продукцията, която отговаря на средната стойност за даден район за всеки един земеделски продукт, изчислена в евро по таблица съгласно приложение № </w:t>
      </w:r>
      <w:r w:rsidRPr="00C006BC">
        <w:rPr>
          <w:rFonts w:ascii="Times New Roman" w:hAnsi="Times New Roman" w:cs="Times New Roman"/>
          <w:sz w:val="24"/>
          <w:szCs w:val="24"/>
          <w:lang w:val="ru-RU"/>
        </w:rPr>
        <w:t>23</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60. "Схеми за директно подпомагане" са правилата за предоставяне на финансова помощ, уредени в Регламент (ЕС) № 1307/2013 на Европейския парламент и на Съвета от 17 декември 2013 г. за установяване на правила за директни плащания за земеделски стопани по схеми за подпомагане в рамките на общата селскостопанска политика и за отмяна на Регламент (ЕО) № 637/2008 на Съвета и Регламент (ЕО) № 73/2009 на Съвета (ОВ, L 347/608 от 20 декември 2013 г.).</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61. "Съпоставими оферти" са оферти, които отговарят на запитването за оферта на кандидата и съдържат:</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а) еднотипни основни технически характеристики – в случаите, когато се кандидатства за разходи за закупуване на машини и земеделска техника;</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б) общ капацитет на оборудването – в случаите, когато се кандидатства за разходи за закупуване на оборудване или производствени линии, съставени от различни машини, съоръжения и оборудване;</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в) количествено-стойностни сметки – в случаите, когато се кандидатства за разходи за извършване на строително-монтажни работи.</w:t>
      </w:r>
    </w:p>
    <w:p w:rsidR="00AB5C99" w:rsidRPr="00362A31"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62. </w:t>
      </w:r>
      <w:r w:rsidRPr="00C006BC">
        <w:rPr>
          <w:rFonts w:ascii="Times New Roman" w:hAnsi="Times New Roman" w:cs="Times New Roman"/>
          <w:sz w:val="24"/>
          <w:szCs w:val="24"/>
          <w:lang w:val="ru-RU"/>
        </w:rPr>
        <w:t>“</w:t>
      </w:r>
      <w:r>
        <w:rPr>
          <w:rFonts w:ascii="Times New Roman" w:hAnsi="Times New Roman" w:cs="Times New Roman"/>
          <w:sz w:val="24"/>
          <w:szCs w:val="24"/>
        </w:rPr>
        <w:t>Работни места</w:t>
      </w:r>
      <w:r w:rsidRPr="00C006BC">
        <w:rPr>
          <w:rFonts w:ascii="Times New Roman" w:hAnsi="Times New Roman" w:cs="Times New Roman"/>
          <w:sz w:val="24"/>
          <w:szCs w:val="24"/>
          <w:lang w:val="ru-RU"/>
        </w:rPr>
        <w:t>”</w:t>
      </w:r>
      <w:r>
        <w:rPr>
          <w:rFonts w:ascii="Times New Roman" w:hAnsi="Times New Roman" w:cs="Times New Roman"/>
          <w:sz w:val="24"/>
          <w:szCs w:val="24"/>
        </w:rPr>
        <w:t xml:space="preserve"> е </w:t>
      </w:r>
      <w:proofErr w:type="spellStart"/>
      <w:r>
        <w:rPr>
          <w:rFonts w:ascii="Times New Roman" w:hAnsi="Times New Roman" w:cs="Times New Roman"/>
          <w:sz w:val="24"/>
          <w:szCs w:val="24"/>
        </w:rPr>
        <w:t>с</w:t>
      </w:r>
      <w:r w:rsidRPr="00175602">
        <w:rPr>
          <w:rFonts w:ascii="Times New Roman" w:hAnsi="Times New Roman" w:cs="Times New Roman"/>
          <w:sz w:val="24"/>
          <w:szCs w:val="24"/>
        </w:rPr>
        <w:t>редносписъчният</w:t>
      </w:r>
      <w:proofErr w:type="spellEnd"/>
      <w:r w:rsidRPr="00175602">
        <w:rPr>
          <w:rFonts w:ascii="Times New Roman" w:hAnsi="Times New Roman" w:cs="Times New Roman"/>
          <w:sz w:val="24"/>
          <w:szCs w:val="24"/>
        </w:rPr>
        <w:t xml:space="preserve"> брой </w:t>
      </w:r>
      <w:proofErr w:type="gramStart"/>
      <w:r w:rsidRPr="00175602">
        <w:rPr>
          <w:rFonts w:ascii="Times New Roman" w:hAnsi="Times New Roman" w:cs="Times New Roman"/>
          <w:sz w:val="24"/>
          <w:szCs w:val="24"/>
        </w:rPr>
        <w:t>на персонала</w:t>
      </w:r>
      <w:proofErr w:type="gramEnd"/>
      <w:r>
        <w:rPr>
          <w:rFonts w:ascii="Times New Roman" w:hAnsi="Times New Roman" w:cs="Times New Roman"/>
          <w:sz w:val="24"/>
          <w:szCs w:val="24"/>
        </w:rPr>
        <w:t>,</w:t>
      </w:r>
      <w:r w:rsidRPr="00175602">
        <w:rPr>
          <w:rFonts w:ascii="Times New Roman" w:hAnsi="Times New Roman" w:cs="Times New Roman"/>
          <w:sz w:val="24"/>
          <w:szCs w:val="24"/>
        </w:rPr>
        <w:t xml:space="preserve"> изчисл</w:t>
      </w:r>
      <w:r>
        <w:rPr>
          <w:rFonts w:ascii="Times New Roman" w:hAnsi="Times New Roman" w:cs="Times New Roman"/>
          <w:sz w:val="24"/>
          <w:szCs w:val="24"/>
        </w:rPr>
        <w:t>ен</w:t>
      </w:r>
      <w:r w:rsidRPr="00175602">
        <w:rPr>
          <w:rFonts w:ascii="Times New Roman" w:hAnsi="Times New Roman" w:cs="Times New Roman"/>
          <w:sz w:val="24"/>
          <w:szCs w:val="24"/>
        </w:rPr>
        <w:t xml:space="preserve"> като с</w:t>
      </w:r>
      <w:r>
        <w:rPr>
          <w:rFonts w:ascii="Times New Roman" w:hAnsi="Times New Roman" w:cs="Times New Roman"/>
          <w:sz w:val="24"/>
          <w:szCs w:val="24"/>
        </w:rPr>
        <w:t>бор</w:t>
      </w:r>
      <w:r w:rsidRPr="00175602">
        <w:rPr>
          <w:rFonts w:ascii="Times New Roman" w:hAnsi="Times New Roman" w:cs="Times New Roman"/>
          <w:sz w:val="24"/>
          <w:szCs w:val="24"/>
        </w:rPr>
        <w:t xml:space="preserve"> от данните за среден списъчен брой на заетите лица, посочени в Част </w:t>
      </w:r>
      <w:r w:rsidRPr="00175602">
        <w:rPr>
          <w:rFonts w:ascii="Times New Roman" w:hAnsi="Times New Roman" w:cs="Times New Roman"/>
          <w:sz w:val="24"/>
          <w:szCs w:val="24"/>
          <w:lang w:val="en-US"/>
        </w:rPr>
        <w:t>I</w:t>
      </w:r>
      <w:r w:rsidRPr="00C006BC">
        <w:rPr>
          <w:rFonts w:ascii="Times New Roman" w:hAnsi="Times New Roman" w:cs="Times New Roman"/>
          <w:sz w:val="24"/>
          <w:szCs w:val="24"/>
          <w:lang w:val="ru-RU"/>
        </w:rPr>
        <w:t xml:space="preserve">, </w:t>
      </w:r>
      <w:r w:rsidRPr="00D650C2">
        <w:rPr>
          <w:rFonts w:ascii="Times New Roman" w:hAnsi="Times New Roman" w:cs="Times New Roman"/>
          <w:sz w:val="24"/>
          <w:szCs w:val="24"/>
        </w:rPr>
        <w:t xml:space="preserve">Раздел 1 от </w:t>
      </w:r>
      <w:r w:rsidRPr="004A5A85">
        <w:rPr>
          <w:rFonts w:ascii="Times New Roman" w:hAnsi="Times New Roman" w:cs="Times New Roman"/>
          <w:sz w:val="24"/>
          <w:szCs w:val="24"/>
        </w:rPr>
        <w:t>„</w:t>
      </w:r>
      <w:r w:rsidRPr="00D650C2">
        <w:rPr>
          <w:rFonts w:ascii="Times New Roman" w:hAnsi="Times New Roman" w:cs="Times New Roman"/>
          <w:sz w:val="24"/>
          <w:szCs w:val="24"/>
        </w:rPr>
        <w:t>Отчета за заетите лица</w:t>
      </w:r>
      <w:r w:rsidRPr="00B42519">
        <w:rPr>
          <w:rFonts w:ascii="Times New Roman" w:hAnsi="Times New Roman" w:cs="Times New Roman"/>
          <w:sz w:val="24"/>
          <w:szCs w:val="24"/>
        </w:rPr>
        <w:t>, средствата за работна заплата и други разходи за труд</w:t>
      </w:r>
      <w:r w:rsidRPr="004A5A85">
        <w:rPr>
          <w:rFonts w:ascii="Times New Roman" w:hAnsi="Times New Roman" w:cs="Times New Roman"/>
          <w:sz w:val="24"/>
          <w:szCs w:val="24"/>
        </w:rPr>
        <w:t>“</w:t>
      </w:r>
      <w:r w:rsidRPr="00D650C2">
        <w:rPr>
          <w:rFonts w:ascii="Times New Roman" w:hAnsi="Times New Roman" w:cs="Times New Roman"/>
          <w:sz w:val="24"/>
          <w:szCs w:val="24"/>
        </w:rPr>
        <w:t xml:space="preserve"> </w:t>
      </w:r>
      <w:r w:rsidRPr="00B42519">
        <w:rPr>
          <w:rFonts w:ascii="Times New Roman" w:hAnsi="Times New Roman" w:cs="Times New Roman"/>
          <w:sz w:val="24"/>
          <w:szCs w:val="24"/>
        </w:rPr>
        <w:t xml:space="preserve">и лицата, посочени в код 1400 и код 1600 от част </w:t>
      </w:r>
      <w:r w:rsidRPr="00B42519">
        <w:rPr>
          <w:rFonts w:ascii="Times New Roman" w:hAnsi="Times New Roman" w:cs="Times New Roman"/>
          <w:sz w:val="24"/>
          <w:szCs w:val="24"/>
          <w:lang w:val="en-US"/>
        </w:rPr>
        <w:t>II</w:t>
      </w:r>
      <w:r w:rsidRPr="00C006BC">
        <w:rPr>
          <w:rFonts w:ascii="Times New Roman" w:hAnsi="Times New Roman" w:cs="Times New Roman"/>
          <w:sz w:val="24"/>
          <w:szCs w:val="24"/>
          <w:lang w:val="ru-RU"/>
        </w:rPr>
        <w:t xml:space="preserve"> </w:t>
      </w:r>
      <w:r w:rsidRPr="000A01C0">
        <w:rPr>
          <w:rFonts w:ascii="Times New Roman" w:hAnsi="Times New Roman" w:cs="Times New Roman"/>
          <w:sz w:val="24"/>
          <w:szCs w:val="24"/>
        </w:rPr>
        <w:t>на отчета.</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63. "Технологично въздействие" е онази част от производствения процес, при която има пряко преобразуване на свойствата или качественото състояние на първоначалния продукт.</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64. "Уникален идентификационен номер" е регистрационен номер, който се издава на кандидата от служител в РА след положително становище от извършен преглед на документите към </w:t>
      </w:r>
      <w:r w:rsidRPr="004B42D4">
        <w:rPr>
          <w:rFonts w:ascii="Times New Roman" w:hAnsi="Times New Roman" w:cs="Times New Roman"/>
          <w:sz w:val="24"/>
          <w:szCs w:val="24"/>
        </w:rPr>
        <w:t>проектното предложение</w:t>
      </w:r>
      <w:r>
        <w:rPr>
          <w:rFonts w:ascii="Times New Roman" w:hAnsi="Times New Roman" w:cs="Times New Roman"/>
          <w:sz w:val="24"/>
          <w:szCs w:val="24"/>
        </w:rPr>
        <w:t>.</w:t>
      </w:r>
    </w:p>
    <w:p w:rsidR="00AB5C99" w:rsidRDefault="00AB5C99"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65. "Частичен отказ за финансиране" е отказът да се финансират част от заявените разходи на кандидата, които са включени в проект, одобрен за подпомагане по ПРСР 2014 – 2020 г.</w:t>
      </w:r>
    </w:p>
    <w:p w:rsidR="00AB5C99" w:rsidRPr="00E11C99" w:rsidRDefault="00AB5C99" w:rsidP="00E11C99">
      <w:pPr>
        <w:shd w:val="clear" w:color="auto" w:fill="FEFEFE"/>
        <w:spacing w:after="0" w:line="240" w:lineRule="auto"/>
        <w:jc w:val="both"/>
        <w:rPr>
          <w:rFonts w:ascii="Times New Roman" w:hAnsi="Times New Roman" w:cs="Times New Roman"/>
          <w:color w:val="000000"/>
          <w:sz w:val="24"/>
          <w:szCs w:val="24"/>
          <w:lang w:eastAsia="bg-BG"/>
        </w:rPr>
      </w:pPr>
      <w:r>
        <w:t>66</w:t>
      </w:r>
      <w:r w:rsidRPr="00E11C99">
        <w:rPr>
          <w:rFonts w:ascii="Times New Roman" w:hAnsi="Times New Roman" w:cs="Times New Roman"/>
          <w:sz w:val="24"/>
          <w:szCs w:val="24"/>
        </w:rPr>
        <w:t>.</w:t>
      </w:r>
      <w:r w:rsidRPr="00E11C99">
        <w:rPr>
          <w:rFonts w:ascii="Times New Roman" w:hAnsi="Times New Roman" w:cs="Times New Roman"/>
          <w:color w:val="000000"/>
          <w:sz w:val="24"/>
          <w:szCs w:val="24"/>
          <w:lang w:eastAsia="bg-BG"/>
        </w:rPr>
        <w:t xml:space="preserve"> "Функционална несамостоятелност" е 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w:t>
      </w:r>
    </w:p>
    <w:p w:rsidR="00AB5C99" w:rsidRDefault="00AB5C99" w:rsidP="00E11C99">
      <w:pPr>
        <w:jc w:val="both"/>
        <w:rPr>
          <w:rFonts w:ascii="Times New Roman" w:hAnsi="Times New Roman" w:cs="Times New Roman"/>
          <w:sz w:val="24"/>
          <w:szCs w:val="24"/>
        </w:rPr>
      </w:pPr>
    </w:p>
    <w:p w:rsidR="00AE3FE5" w:rsidRDefault="00AE3FE5" w:rsidP="00E11C99">
      <w:pPr>
        <w:jc w:val="both"/>
        <w:rPr>
          <w:rFonts w:ascii="Times New Roman" w:hAnsi="Times New Roman" w:cs="Times New Roman"/>
          <w:sz w:val="24"/>
          <w:szCs w:val="24"/>
        </w:rPr>
      </w:pPr>
    </w:p>
    <w:p w:rsidR="00AE3FE5" w:rsidRDefault="00AE3FE5" w:rsidP="00E11C99">
      <w:pPr>
        <w:jc w:val="both"/>
        <w:rPr>
          <w:rFonts w:ascii="Times New Roman" w:hAnsi="Times New Roman" w:cs="Times New Roman"/>
          <w:sz w:val="24"/>
          <w:szCs w:val="24"/>
        </w:rPr>
      </w:pPr>
    </w:p>
    <w:p w:rsidR="00AE3FE5" w:rsidRPr="0091349B" w:rsidRDefault="00AE3FE5" w:rsidP="00AE3FE5">
      <w:pPr>
        <w:pStyle w:val="a8"/>
        <w:rPr>
          <w:lang w:val="ru-RU"/>
        </w:rPr>
      </w:pPr>
    </w:p>
    <w:p w:rsidR="00AE3FE5" w:rsidRDefault="00AE3FE5" w:rsidP="00AE3FE5">
      <w:pPr>
        <w:tabs>
          <w:tab w:val="center" w:pos="4536"/>
        </w:tabs>
        <w:jc w:val="center"/>
        <w:rPr>
          <w:sz w:val="16"/>
          <w:szCs w:val="16"/>
          <w:lang w:val="en-US"/>
        </w:rPr>
      </w:pPr>
      <w:r>
        <w:rPr>
          <w:noProof/>
          <w:sz w:val="16"/>
          <w:szCs w:val="16"/>
        </w:rPr>
        <w:pict>
          <v:shape id="Picture 7" o:spid="_x0000_i1033" type="#_x0000_t75" alt="Banite" style="width:28.5pt;height:36pt;visibility:visible">
            <v:imagedata r:id="rId8" o:title="Banite"/>
          </v:shape>
        </w:pict>
      </w:r>
      <w:r>
        <w:rPr>
          <w:sz w:val="16"/>
          <w:szCs w:val="16"/>
        </w:rPr>
        <w:t xml:space="preserve">              </w:t>
      </w:r>
      <w:r>
        <w:rPr>
          <w:noProof/>
          <w:sz w:val="16"/>
          <w:szCs w:val="16"/>
        </w:rPr>
        <w:pict>
          <v:shape id="Picture 6" o:spid="_x0000_i1034" type="#_x0000_t75" alt="Luky_sign (1)" style="width:25.5pt;height:36pt;visibility:visible">
            <v:imagedata r:id="rId9" o:title="Luky_sign (1)"/>
          </v:shape>
        </w:pict>
      </w:r>
      <w:r>
        <w:rPr>
          <w:sz w:val="16"/>
          <w:szCs w:val="16"/>
        </w:rPr>
        <w:t xml:space="preserve">             </w:t>
      </w:r>
      <w:r>
        <w:rPr>
          <w:noProof/>
          <w:sz w:val="16"/>
          <w:szCs w:val="16"/>
        </w:rPr>
        <w:pict>
          <v:shape id="Picture 5" o:spid="_x0000_i1035" type="#_x0000_t75" alt="chepelare" style="width:30.75pt;height:40.5pt;visibility:visible">
            <v:imagedata r:id="rId10" o:title="chepelare"/>
          </v:shape>
        </w:pict>
      </w:r>
    </w:p>
    <w:p w:rsidR="00AE3FE5" w:rsidRPr="00391569" w:rsidRDefault="00AE3FE5" w:rsidP="00AE3FE5">
      <w:pPr>
        <w:pStyle w:val="a7"/>
        <w:jc w:val="center"/>
        <w:rPr>
          <w:rFonts w:ascii="Times New Roman" w:hAnsi="Times New Roman"/>
        </w:rPr>
      </w:pPr>
      <w:r>
        <w:rPr>
          <w:rFonts w:ascii="Times New Roman" w:hAnsi="Times New Roman"/>
        </w:rPr>
        <w:t>Сдружение Местна Инициативна Група „Преспа” - общини Баните, Лъки и Чепеларе</w:t>
      </w:r>
    </w:p>
    <w:p w:rsidR="00AE3FE5" w:rsidRDefault="00AE3FE5" w:rsidP="00AE3FE5">
      <w:pPr>
        <w:pStyle w:val="a7"/>
        <w:jc w:val="center"/>
        <w:rPr>
          <w:rFonts w:ascii="Times New Roman" w:hAnsi="Times New Roman"/>
        </w:rPr>
      </w:pPr>
      <w:r>
        <w:rPr>
          <w:rFonts w:ascii="Times New Roman" w:hAnsi="Times New Roman"/>
        </w:rPr>
        <w:t xml:space="preserve">адрес: гр. Чепеларе 4850; </w:t>
      </w:r>
      <w:r>
        <w:rPr>
          <w:rFonts w:ascii="Times New Roman" w:hAnsi="Times New Roman"/>
          <w:lang w:val="ru-RU"/>
        </w:rPr>
        <w:t xml:space="preserve">ул. ”Йордан </w:t>
      </w:r>
      <w:proofErr w:type="spellStart"/>
      <w:r>
        <w:rPr>
          <w:rFonts w:ascii="Times New Roman" w:hAnsi="Times New Roman"/>
          <w:lang w:val="ru-RU"/>
        </w:rPr>
        <w:t>Данчев</w:t>
      </w:r>
      <w:proofErr w:type="spellEnd"/>
      <w:r>
        <w:rPr>
          <w:rFonts w:ascii="Times New Roman" w:hAnsi="Times New Roman"/>
          <w:lang w:val="ru-RU"/>
        </w:rPr>
        <w:t xml:space="preserve">” № 1; </w:t>
      </w:r>
      <w:r>
        <w:rPr>
          <w:rFonts w:ascii="Times New Roman" w:hAnsi="Times New Roman"/>
          <w:lang w:val="en-US"/>
        </w:rPr>
        <w:t>e</w:t>
      </w:r>
      <w:r>
        <w:rPr>
          <w:rFonts w:ascii="Times New Roman" w:hAnsi="Times New Roman"/>
          <w:lang w:val="ru-RU"/>
        </w:rPr>
        <w:t>-</w:t>
      </w:r>
      <w:r>
        <w:rPr>
          <w:rFonts w:ascii="Times New Roman" w:hAnsi="Times New Roman"/>
          <w:lang w:val="en-US"/>
        </w:rPr>
        <w:t>mail</w:t>
      </w:r>
      <w:r>
        <w:rPr>
          <w:rFonts w:ascii="Times New Roman" w:hAnsi="Times New Roman"/>
          <w:lang w:val="ru-RU"/>
        </w:rPr>
        <w:t xml:space="preserve">: </w:t>
      </w:r>
      <w:hyperlink r:id="rId11" w:history="1">
        <w:r>
          <w:rPr>
            <w:rStyle w:val="aa"/>
            <w:rFonts w:ascii="Times New Roman" w:hAnsi="Times New Roman"/>
            <w:lang w:val="en-US"/>
          </w:rPr>
          <w:t>migprespa</w:t>
        </w:r>
        <w:r>
          <w:rPr>
            <w:rStyle w:val="aa"/>
            <w:rFonts w:ascii="Times New Roman" w:hAnsi="Times New Roman"/>
            <w:lang w:val="ru-RU"/>
          </w:rPr>
          <w:t>@</w:t>
        </w:r>
        <w:r>
          <w:rPr>
            <w:rStyle w:val="aa"/>
            <w:rFonts w:ascii="Times New Roman" w:hAnsi="Times New Roman"/>
            <w:lang w:val="en-US"/>
          </w:rPr>
          <w:t>gmail</w:t>
        </w:r>
        <w:r>
          <w:rPr>
            <w:rStyle w:val="aa"/>
            <w:rFonts w:ascii="Times New Roman" w:hAnsi="Times New Roman"/>
            <w:lang w:val="ru-RU"/>
          </w:rPr>
          <w:t>.</w:t>
        </w:r>
        <w:r>
          <w:rPr>
            <w:rStyle w:val="aa"/>
            <w:rFonts w:ascii="Times New Roman" w:hAnsi="Times New Roman"/>
            <w:lang w:val="en-US"/>
          </w:rPr>
          <w:t>com</w:t>
        </w:r>
      </w:hyperlink>
    </w:p>
    <w:p w:rsidR="00AE3FE5" w:rsidRDefault="00AE3FE5" w:rsidP="00AE3FE5">
      <w:pPr>
        <w:pStyle w:val="a7"/>
        <w:jc w:val="center"/>
        <w:rPr>
          <w:rFonts w:ascii="Times New Roman" w:hAnsi="Times New Roman"/>
          <w:lang w:val="en-US"/>
        </w:rPr>
      </w:pPr>
      <w:r>
        <w:rPr>
          <w:rFonts w:ascii="Times New Roman" w:hAnsi="Times New Roman"/>
        </w:rPr>
        <w:t>телефон за контакти: 08</w:t>
      </w:r>
      <w:r>
        <w:rPr>
          <w:rFonts w:ascii="Times New Roman" w:hAnsi="Times New Roman"/>
          <w:lang w:val="en-US"/>
        </w:rPr>
        <w:t>76/79 78 08</w:t>
      </w:r>
    </w:p>
    <w:p w:rsidR="00AE3FE5" w:rsidRPr="00E11C99" w:rsidRDefault="00AE3FE5" w:rsidP="00E11C99">
      <w:pPr>
        <w:jc w:val="both"/>
        <w:rPr>
          <w:rFonts w:ascii="Times New Roman" w:hAnsi="Times New Roman" w:cs="Times New Roman"/>
          <w:sz w:val="24"/>
          <w:szCs w:val="24"/>
        </w:rPr>
      </w:pPr>
      <w:bookmarkStart w:id="0" w:name="_GoBack"/>
      <w:bookmarkEnd w:id="0"/>
    </w:p>
    <w:sectPr w:rsidR="00AE3FE5" w:rsidRPr="00E11C99" w:rsidSect="00AE3FE5">
      <w:pgSz w:w="11906" w:h="16838"/>
      <w:pgMar w:top="426" w:right="849" w:bottom="851"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B44BB"/>
    <w:rsid w:val="000A01C0"/>
    <w:rsid w:val="000B71D5"/>
    <w:rsid w:val="000D64B6"/>
    <w:rsid w:val="000E2C81"/>
    <w:rsid w:val="000F4138"/>
    <w:rsid w:val="0014385B"/>
    <w:rsid w:val="00145211"/>
    <w:rsid w:val="001553A3"/>
    <w:rsid w:val="00175602"/>
    <w:rsid w:val="002259CC"/>
    <w:rsid w:val="0024355F"/>
    <w:rsid w:val="002B2E43"/>
    <w:rsid w:val="00362A31"/>
    <w:rsid w:val="004A5A85"/>
    <w:rsid w:val="004A7771"/>
    <w:rsid w:val="004B42D4"/>
    <w:rsid w:val="004C44F0"/>
    <w:rsid w:val="004C7351"/>
    <w:rsid w:val="004E016A"/>
    <w:rsid w:val="00520425"/>
    <w:rsid w:val="0055465A"/>
    <w:rsid w:val="005B10AC"/>
    <w:rsid w:val="00671934"/>
    <w:rsid w:val="006E455D"/>
    <w:rsid w:val="006E5FDC"/>
    <w:rsid w:val="00724470"/>
    <w:rsid w:val="00735B32"/>
    <w:rsid w:val="00746ADF"/>
    <w:rsid w:val="007E55FC"/>
    <w:rsid w:val="008025C2"/>
    <w:rsid w:val="00842881"/>
    <w:rsid w:val="00874F94"/>
    <w:rsid w:val="008B44BB"/>
    <w:rsid w:val="00945CA7"/>
    <w:rsid w:val="00996FDC"/>
    <w:rsid w:val="00A165CD"/>
    <w:rsid w:val="00A23B54"/>
    <w:rsid w:val="00A548EC"/>
    <w:rsid w:val="00A87485"/>
    <w:rsid w:val="00AB5C99"/>
    <w:rsid w:val="00AE3FE5"/>
    <w:rsid w:val="00B42519"/>
    <w:rsid w:val="00B537FE"/>
    <w:rsid w:val="00BB69DA"/>
    <w:rsid w:val="00BD6569"/>
    <w:rsid w:val="00C006BC"/>
    <w:rsid w:val="00C77224"/>
    <w:rsid w:val="00D650C2"/>
    <w:rsid w:val="00E11C99"/>
    <w:rsid w:val="00E34E7B"/>
    <w:rsid w:val="00F65DA3"/>
    <w:rsid w:val="00FD10A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D490AAE"/>
  <w15:docId w15:val="{F8AAAEFA-3FB7-42FF-AC13-53D4441C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44BB"/>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F65DA3"/>
    <w:pPr>
      <w:spacing w:after="0" w:line="240" w:lineRule="auto"/>
    </w:pPr>
    <w:rPr>
      <w:rFonts w:ascii="Tahoma" w:hAnsi="Tahoma" w:cs="Tahoma"/>
      <w:sz w:val="16"/>
      <w:szCs w:val="16"/>
      <w:lang w:eastAsia="bg-BG"/>
    </w:rPr>
  </w:style>
  <w:style w:type="character" w:customStyle="1" w:styleId="a4">
    <w:name w:val="Изнесен текст Знак"/>
    <w:link w:val="a3"/>
    <w:uiPriority w:val="99"/>
    <w:semiHidden/>
    <w:locked/>
    <w:rsid w:val="00F65DA3"/>
    <w:rPr>
      <w:rFonts w:ascii="Tahoma" w:hAnsi="Tahoma" w:cs="Tahoma"/>
      <w:sz w:val="16"/>
      <w:szCs w:val="16"/>
    </w:rPr>
  </w:style>
  <w:style w:type="paragraph" w:styleId="a5">
    <w:name w:val="Document Map"/>
    <w:basedOn w:val="a"/>
    <w:link w:val="a6"/>
    <w:uiPriority w:val="99"/>
    <w:semiHidden/>
    <w:rsid w:val="00C006BC"/>
    <w:pPr>
      <w:shd w:val="clear" w:color="auto" w:fill="000080"/>
    </w:pPr>
    <w:rPr>
      <w:rFonts w:cs="Times New Roman"/>
      <w:sz w:val="2"/>
      <w:szCs w:val="2"/>
    </w:rPr>
  </w:style>
  <w:style w:type="character" w:customStyle="1" w:styleId="a6">
    <w:name w:val="План на документа Знак"/>
    <w:link w:val="a5"/>
    <w:uiPriority w:val="99"/>
    <w:semiHidden/>
    <w:locked/>
    <w:rPr>
      <w:rFonts w:ascii="Times New Roman" w:hAnsi="Times New Roman" w:cs="Times New Roman"/>
      <w:sz w:val="2"/>
      <w:szCs w:val="2"/>
      <w:lang w:eastAsia="en-US"/>
    </w:rPr>
  </w:style>
  <w:style w:type="paragraph" w:styleId="a7">
    <w:name w:val="No Spacing"/>
    <w:uiPriority w:val="1"/>
    <w:qFormat/>
    <w:rsid w:val="000E2C81"/>
    <w:rPr>
      <w:rFonts w:cs="Calibri"/>
      <w:sz w:val="22"/>
      <w:szCs w:val="22"/>
      <w:lang w:eastAsia="en-US"/>
    </w:rPr>
  </w:style>
  <w:style w:type="paragraph" w:styleId="a8">
    <w:name w:val="Plain Text"/>
    <w:basedOn w:val="a"/>
    <w:link w:val="a9"/>
    <w:rsid w:val="00AE3FE5"/>
    <w:pPr>
      <w:spacing w:after="0" w:line="240" w:lineRule="auto"/>
    </w:pPr>
    <w:rPr>
      <w:rFonts w:ascii="Courier New" w:eastAsia="Times New Roman" w:hAnsi="Courier New" w:cs="Courier New"/>
      <w:sz w:val="20"/>
      <w:szCs w:val="20"/>
      <w:lang w:eastAsia="bg-BG"/>
    </w:rPr>
  </w:style>
  <w:style w:type="character" w:customStyle="1" w:styleId="a9">
    <w:name w:val="Обикновен текст Знак"/>
    <w:link w:val="a8"/>
    <w:rsid w:val="00AE3FE5"/>
    <w:rPr>
      <w:rFonts w:ascii="Courier New" w:eastAsia="Times New Roman" w:hAnsi="Courier New" w:cs="Courier New"/>
    </w:rPr>
  </w:style>
  <w:style w:type="character" w:styleId="aa">
    <w:name w:val="Hyperlink"/>
    <w:uiPriority w:val="99"/>
    <w:unhideWhenUsed/>
    <w:rsid w:val="00AE3FE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77332">
      <w:bodyDiv w:val="1"/>
      <w:marLeft w:val="0"/>
      <w:marRight w:val="0"/>
      <w:marTop w:val="0"/>
      <w:marBottom w:val="0"/>
      <w:divBdr>
        <w:top w:val="none" w:sz="0" w:space="0" w:color="auto"/>
        <w:left w:val="none" w:sz="0" w:space="0" w:color="auto"/>
        <w:bottom w:val="none" w:sz="0" w:space="0" w:color="auto"/>
        <w:right w:val="none" w:sz="0" w:space="0" w:color="auto"/>
      </w:divBdr>
    </w:div>
    <w:div w:id="20336064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hyperlink" Target="mailto:migprespa@gmail.com" TargetMode="External"/><Relationship Id="rId5" Type="http://schemas.openxmlformats.org/officeDocument/2006/relationships/image" Target="media/image2.jpeg"/><Relationship Id="rId10" Type="http://schemas.openxmlformats.org/officeDocument/2006/relationships/image" Target="media/image7.png"/><Relationship Id="rId4" Type="http://schemas.openxmlformats.org/officeDocument/2006/relationships/image" Target="media/image1.emf"/><Relationship Id="rId9"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8</Pages>
  <Words>3263</Words>
  <Characters>18604</Characters>
  <Application>Microsoft Office Word</Application>
  <DocSecurity>0</DocSecurity>
  <Lines>155</Lines>
  <Paragraphs>43</Paragraphs>
  <ScaleCrop>false</ScaleCrop>
  <Company>- ETH0 -</Company>
  <LinksUpToDate>false</LinksUpToDate>
  <CharactersWithSpaces>21824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 M. Krastev</dc:creator>
  <cp:keywords/>
  <dc:description/>
  <cp:lastModifiedBy>OBA5</cp:lastModifiedBy>
  <cp:revision>33</cp:revision>
  <cp:lastPrinted>2018-02-09T16:17:00Z</cp:lastPrinted>
  <dcterms:created xsi:type="dcterms:W3CDTF">2018-01-25T10:59:00Z</dcterms:created>
  <dcterms:modified xsi:type="dcterms:W3CDTF">2022-10-21T11:08:00Z</dcterms:modified>
</cp:coreProperties>
</file>